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F1" w:rsidRPr="008204E4" w:rsidRDefault="008204E4" w:rsidP="00E17AF1">
      <w:pPr>
        <w:jc w:val="right"/>
        <w:rPr>
          <w:rFonts w:eastAsia="Times New Roman" w:cs="Times New Roman"/>
          <w:b/>
          <w:sz w:val="48"/>
          <w:szCs w:val="48"/>
        </w:rPr>
      </w:pPr>
      <w:r>
        <w:rPr>
          <w:rFonts w:eastAsia="Times New Roman" w:cs="Times New Roman"/>
          <w:b/>
          <w:sz w:val="48"/>
          <w:szCs w:val="48"/>
        </w:rPr>
        <w:t xml:space="preserve">Appendix </w:t>
      </w:r>
      <w:bookmarkStart w:id="0" w:name="_GoBack"/>
      <w:bookmarkEnd w:id="0"/>
      <w:r w:rsidR="00E17AF1" w:rsidRPr="008204E4">
        <w:rPr>
          <w:rFonts w:eastAsia="Times New Roman" w:cs="Times New Roman"/>
          <w:b/>
          <w:sz w:val="48"/>
          <w:szCs w:val="48"/>
        </w:rPr>
        <w:t xml:space="preserve"> 2</w:t>
      </w:r>
    </w:p>
    <w:p w:rsidR="00E17AF1" w:rsidRDefault="00E17AF1" w:rsidP="00E17AF1">
      <w:pPr>
        <w:jc w:val="center"/>
        <w:rPr>
          <w:rFonts w:eastAsia="Times New Roman" w:cs="Times New Roman"/>
          <w:b/>
          <w:sz w:val="32"/>
          <w:szCs w:val="32"/>
        </w:rPr>
      </w:pPr>
      <w:r w:rsidRPr="00E17AF1">
        <w:rPr>
          <w:rFonts w:eastAsia="Times New Roman" w:cs="Times New Roman"/>
          <w:b/>
          <w:sz w:val="32"/>
          <w:szCs w:val="32"/>
        </w:rPr>
        <w:t>Prudential Indicators</w:t>
      </w:r>
    </w:p>
    <w:p w:rsidR="00E17AF1" w:rsidRPr="005D4792" w:rsidRDefault="00E17AF1" w:rsidP="005D4792">
      <w:pPr>
        <w:tabs>
          <w:tab w:val="left" w:pos="426"/>
        </w:tabs>
        <w:rPr>
          <w:b/>
        </w:rPr>
      </w:pPr>
      <w:r w:rsidRPr="005D4792">
        <w:rPr>
          <w:b/>
        </w:rPr>
        <w:t>A.</w:t>
      </w:r>
      <w:r w:rsidRPr="005D4792">
        <w:rPr>
          <w:b/>
        </w:rPr>
        <w:tab/>
        <w:t xml:space="preserve">Capital Expenditure Plans </w:t>
      </w:r>
    </w:p>
    <w:p w:rsidR="005D4792" w:rsidRDefault="005D4792" w:rsidP="00537AB3">
      <w:pPr>
        <w:spacing w:after="120"/>
        <w:rPr>
          <w:rFonts w:eastAsia="Times New Roman" w:cs="Times New Roman"/>
        </w:rPr>
      </w:pP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The Council’s capital expenditure plans are the key driver of treasury management activity.  Estimates of capital expenditure for the period 201</w:t>
      </w:r>
      <w:r w:rsidR="00C41F13">
        <w:rPr>
          <w:rFonts w:eastAsia="Times New Roman" w:cs="Times New Roman"/>
        </w:rPr>
        <w:t>8</w:t>
      </w:r>
      <w:r w:rsidRPr="00E17AF1">
        <w:rPr>
          <w:rFonts w:eastAsia="Times New Roman" w:cs="Times New Roman"/>
        </w:rPr>
        <w:t>/1</w:t>
      </w:r>
      <w:r w:rsidR="00C41F13">
        <w:rPr>
          <w:rFonts w:eastAsia="Times New Roman" w:cs="Times New Roman"/>
        </w:rPr>
        <w:t>9</w:t>
      </w:r>
      <w:r w:rsidRPr="00E17AF1">
        <w:rPr>
          <w:rFonts w:eastAsia="Times New Roman" w:cs="Times New Roman"/>
        </w:rPr>
        <w:t xml:space="preserve"> to 20</w:t>
      </w:r>
      <w:r w:rsidR="005D4792">
        <w:rPr>
          <w:rFonts w:eastAsia="Times New Roman" w:cs="Times New Roman"/>
        </w:rPr>
        <w:t>2</w:t>
      </w:r>
      <w:r w:rsidR="002F1361">
        <w:rPr>
          <w:rFonts w:eastAsia="Times New Roman" w:cs="Times New Roman"/>
        </w:rPr>
        <w:t>3</w:t>
      </w:r>
      <w:r w:rsidRPr="00E17AF1">
        <w:rPr>
          <w:rFonts w:eastAsia="Times New Roman" w:cs="Times New Roman"/>
        </w:rPr>
        <w:t>/</w:t>
      </w:r>
      <w:r w:rsidR="00662A94">
        <w:rPr>
          <w:rFonts w:eastAsia="Times New Roman" w:cs="Times New Roman"/>
        </w:rPr>
        <w:t>2</w:t>
      </w:r>
      <w:r w:rsidR="002F1361">
        <w:rPr>
          <w:rFonts w:eastAsia="Times New Roman" w:cs="Times New Roman"/>
        </w:rPr>
        <w:t>4</w:t>
      </w:r>
      <w:r w:rsidRPr="00E17AF1">
        <w:rPr>
          <w:rFonts w:eastAsia="Times New Roman" w:cs="Times New Roman"/>
        </w:rPr>
        <w:t xml:space="preserve"> based on the Council’s draft Capital Programme are summarised below and this forms the first of the prudential indicators.  The revenue consequences of associated borrowing and any on-going maintenance costs are accommodated within the Council’s revenue budgets.</w:t>
      </w:r>
    </w:p>
    <w:p w:rsid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Capital expenditure can be paid for immediately, by applying capital resources such as capital receipts, capital grants, external funding or revenue contributions, but if these resources are insufficient any residual expenditure will be covered by Prudential Borrowing and will add to the Council’s borrowing need, or Capital Financing Requirement (CFR).</w:t>
      </w:r>
    </w:p>
    <w:p w:rsidR="002F1361" w:rsidRDefault="002F1361" w:rsidP="00537AB3">
      <w:pPr>
        <w:numPr>
          <w:ilvl w:val="0"/>
          <w:numId w:val="1"/>
        </w:numPr>
        <w:tabs>
          <w:tab w:val="clear" w:pos="862"/>
          <w:tab w:val="num" w:pos="426"/>
        </w:tabs>
        <w:spacing w:after="120"/>
        <w:ind w:left="426"/>
        <w:rPr>
          <w:rFonts w:eastAsia="Times New Roman" w:cs="Times New Roman"/>
        </w:rPr>
      </w:pPr>
      <w:r>
        <w:rPr>
          <w:rFonts w:eastAsia="Times New Roman" w:cs="Times New Roman"/>
        </w:rPr>
        <w:t>The expenditure is split over three areas:</w:t>
      </w:r>
    </w:p>
    <w:p w:rsidR="002F1361" w:rsidRPr="002F1361" w:rsidRDefault="002F1361" w:rsidP="002F1361">
      <w:pPr>
        <w:pStyle w:val="ListParagraph"/>
        <w:numPr>
          <w:ilvl w:val="0"/>
          <w:numId w:val="3"/>
        </w:numPr>
        <w:spacing w:after="120"/>
        <w:rPr>
          <w:rFonts w:eastAsia="Times New Roman" w:cs="Times New Roman"/>
        </w:rPr>
      </w:pPr>
      <w:r w:rsidRPr="002F1361">
        <w:rPr>
          <w:rFonts w:eastAsia="Times New Roman" w:cs="Times New Roman"/>
        </w:rPr>
        <w:t>Commercial Activities / Non-financial investments</w:t>
      </w:r>
    </w:p>
    <w:p w:rsidR="002F1361" w:rsidRPr="002F1361" w:rsidRDefault="002F1361" w:rsidP="002F1361">
      <w:pPr>
        <w:pStyle w:val="ListParagraph"/>
        <w:numPr>
          <w:ilvl w:val="0"/>
          <w:numId w:val="3"/>
        </w:numPr>
        <w:spacing w:after="120"/>
        <w:rPr>
          <w:rFonts w:eastAsia="Times New Roman" w:cs="Times New Roman"/>
        </w:rPr>
      </w:pPr>
      <w:r w:rsidRPr="002F1361">
        <w:rPr>
          <w:rFonts w:eastAsia="Times New Roman" w:cs="Times New Roman"/>
        </w:rPr>
        <w:t>Other General Fund</w:t>
      </w:r>
    </w:p>
    <w:p w:rsidR="002F1361" w:rsidRPr="002F1361" w:rsidRDefault="002F1361" w:rsidP="002F1361">
      <w:pPr>
        <w:pStyle w:val="ListParagraph"/>
        <w:numPr>
          <w:ilvl w:val="0"/>
          <w:numId w:val="3"/>
        </w:numPr>
        <w:spacing w:after="120"/>
        <w:rPr>
          <w:rFonts w:eastAsia="Times New Roman" w:cs="Times New Roman"/>
        </w:rPr>
      </w:pPr>
      <w:r w:rsidRPr="002F1361">
        <w:rPr>
          <w:rFonts w:eastAsia="Times New Roman" w:cs="Times New Roman"/>
        </w:rPr>
        <w:t>HRA</w:t>
      </w: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Estimates of resources such as capital receipts may be subject to uncertainty i.e. anticipated asset sales may be postponed or reduced due to changes in the property market or planning issues.</w:t>
      </w:r>
    </w:p>
    <w:p w:rsidR="00E17AF1" w:rsidRPr="00E17AF1" w:rsidRDefault="00E17AF1" w:rsidP="00537AB3">
      <w:pPr>
        <w:numPr>
          <w:ilvl w:val="0"/>
          <w:numId w:val="1"/>
        </w:numPr>
        <w:tabs>
          <w:tab w:val="clear" w:pos="862"/>
          <w:tab w:val="num" w:pos="426"/>
        </w:tabs>
        <w:spacing w:after="120"/>
        <w:ind w:left="426"/>
        <w:rPr>
          <w:rFonts w:eastAsia="Times New Roman" w:cs="Times New Roman"/>
        </w:rPr>
      </w:pPr>
      <w:r w:rsidRPr="00E17AF1">
        <w:rPr>
          <w:rFonts w:eastAsia="Times New Roman" w:cs="Times New Roman"/>
        </w:rPr>
        <w:t>Elsewhere on the agenda the draft Capital Programme is recommended for approval. The table below summarises the proposed expenditure and how it will be financed.  Any shortfall of financin</w:t>
      </w:r>
      <w:r w:rsidR="00F33978">
        <w:rPr>
          <w:rFonts w:eastAsia="Times New Roman" w:cs="Times New Roman"/>
        </w:rPr>
        <w:t>g results in a borrowing need.</w:t>
      </w:r>
    </w:p>
    <w:p w:rsidR="00F33978" w:rsidRPr="00F33978" w:rsidRDefault="00F33978" w:rsidP="00537AB3">
      <w:pPr>
        <w:spacing w:after="120"/>
        <w:rPr>
          <w:rFonts w:eastAsia="Times New Roman" w:cs="Times New Roman"/>
        </w:rPr>
      </w:pPr>
    </w:p>
    <w:p w:rsidR="00991031" w:rsidRDefault="00991031">
      <w:pPr>
        <w:rPr>
          <w:rFonts w:eastAsia="Times New Roman" w:cs="Times New Roman"/>
          <w:b/>
        </w:rPr>
      </w:pPr>
      <w:r>
        <w:rPr>
          <w:rFonts w:eastAsia="Times New Roman" w:cs="Times New Roman"/>
          <w:b/>
        </w:rPr>
        <w:br w:type="page"/>
      </w:r>
    </w:p>
    <w:p w:rsidR="00E17AF1" w:rsidRDefault="00E17AF1" w:rsidP="00F33978">
      <w:pPr>
        <w:rPr>
          <w:rFonts w:eastAsia="Times New Roman" w:cs="Times New Roman"/>
          <w:b/>
        </w:rPr>
      </w:pPr>
      <w:r w:rsidRPr="00E17AF1">
        <w:rPr>
          <w:rFonts w:eastAsia="Times New Roman" w:cs="Times New Roman"/>
          <w:b/>
        </w:rPr>
        <w:lastRenderedPageBreak/>
        <w:t>Table 1:-</w:t>
      </w:r>
      <w:r w:rsidR="00DB12D6">
        <w:rPr>
          <w:rFonts w:eastAsia="Times New Roman" w:cs="Times New Roman"/>
          <w:b/>
        </w:rPr>
        <w:t xml:space="preserve"> </w:t>
      </w:r>
      <w:r w:rsidRPr="00E17AF1">
        <w:rPr>
          <w:rFonts w:eastAsia="Times New Roman" w:cs="Times New Roman"/>
          <w:b/>
        </w:rPr>
        <w:t>Ca</w:t>
      </w:r>
      <w:r w:rsidR="002F1361">
        <w:rPr>
          <w:rFonts w:eastAsia="Times New Roman" w:cs="Times New Roman"/>
          <w:b/>
        </w:rPr>
        <w:t>pital Expenditure and Financing</w:t>
      </w:r>
    </w:p>
    <w:p w:rsidR="002F1361" w:rsidRDefault="002F1361" w:rsidP="00F33978">
      <w:pPr>
        <w:rPr>
          <w:rFonts w:eastAsia="Times New Roman" w:cs="Times New Roman"/>
        </w:rPr>
      </w:pPr>
    </w:p>
    <w:p w:rsidR="002F1361" w:rsidRDefault="002F1361" w:rsidP="00382E19">
      <w:pPr>
        <w:ind w:left="851"/>
        <w:rPr>
          <w:rFonts w:eastAsia="Times New Roman" w:cs="Times New Roman"/>
        </w:rPr>
      </w:pPr>
      <w:r w:rsidRPr="002F1361">
        <w:rPr>
          <w:noProof/>
          <w:lang w:eastAsia="en-GB"/>
        </w:rPr>
        <w:drawing>
          <wp:inline distT="0" distB="0" distL="0" distR="0" wp14:anchorId="5766E2AF" wp14:editId="21133030">
            <wp:extent cx="790575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0" cy="3571875"/>
                    </a:xfrm>
                    <a:prstGeom prst="rect">
                      <a:avLst/>
                    </a:prstGeom>
                    <a:noFill/>
                    <a:ln>
                      <a:noFill/>
                    </a:ln>
                  </pic:spPr>
                </pic:pic>
              </a:graphicData>
            </a:graphic>
          </wp:inline>
        </w:drawing>
      </w:r>
    </w:p>
    <w:p w:rsidR="002F1361" w:rsidRDefault="002F1361" w:rsidP="00F33978">
      <w:pPr>
        <w:rPr>
          <w:rFonts w:eastAsia="Times New Roman" w:cs="Times New Roman"/>
        </w:rPr>
      </w:pPr>
    </w:p>
    <w:p w:rsidR="002F1361" w:rsidRDefault="002F1361" w:rsidP="002F1361">
      <w:pPr>
        <w:numPr>
          <w:ilvl w:val="0"/>
          <w:numId w:val="1"/>
        </w:numPr>
        <w:tabs>
          <w:tab w:val="clear" w:pos="862"/>
          <w:tab w:val="num" w:pos="426"/>
        </w:tabs>
        <w:spacing w:after="120"/>
        <w:ind w:left="426"/>
        <w:rPr>
          <w:rFonts w:eastAsia="Times New Roman" w:cs="Times New Roman"/>
        </w:rPr>
      </w:pPr>
      <w:r>
        <w:rPr>
          <w:rFonts w:eastAsia="Times New Roman" w:cs="Times New Roman"/>
        </w:rPr>
        <w:t xml:space="preserve">The following table shows how much of the overall capital funding </w:t>
      </w:r>
      <w:r w:rsidR="00C137F5">
        <w:rPr>
          <w:rFonts w:eastAsia="Times New Roman" w:cs="Times New Roman"/>
        </w:rPr>
        <w:t>need</w:t>
      </w:r>
      <w:r>
        <w:rPr>
          <w:rFonts w:eastAsia="Times New Roman" w:cs="Times New Roman"/>
        </w:rPr>
        <w:t xml:space="preserve"> relates to “commercial activities” and non-financial investments such as loans to the Council’s Companies and expenditure on investment properties.</w:t>
      </w:r>
    </w:p>
    <w:p w:rsidR="002F1361" w:rsidRPr="00E17AF1" w:rsidRDefault="002F1361" w:rsidP="002F1361">
      <w:pPr>
        <w:spacing w:after="120"/>
        <w:ind w:left="426"/>
        <w:rPr>
          <w:rFonts w:eastAsia="Times New Roman" w:cs="Times New Roman"/>
        </w:rPr>
      </w:pPr>
    </w:p>
    <w:p w:rsidR="002F1361" w:rsidRDefault="002F1361" w:rsidP="002F1361">
      <w:pPr>
        <w:rPr>
          <w:rFonts w:eastAsia="Times New Roman" w:cs="Times New Roman"/>
          <w:b/>
        </w:rPr>
      </w:pPr>
      <w:r>
        <w:rPr>
          <w:rFonts w:eastAsia="Times New Roman" w:cs="Times New Roman"/>
          <w:b/>
        </w:rPr>
        <w:t>Table 2</w:t>
      </w:r>
      <w:r w:rsidRPr="00E17AF1">
        <w:rPr>
          <w:rFonts w:eastAsia="Times New Roman" w:cs="Times New Roman"/>
          <w:b/>
        </w:rPr>
        <w:t>:-</w:t>
      </w:r>
      <w:r>
        <w:rPr>
          <w:rFonts w:eastAsia="Times New Roman" w:cs="Times New Roman"/>
          <w:b/>
        </w:rPr>
        <w:t xml:space="preserve"> </w:t>
      </w:r>
      <w:r w:rsidRPr="002F1361">
        <w:rPr>
          <w:rFonts w:eastAsia="Times New Roman" w:cs="Times New Roman"/>
          <w:b/>
        </w:rPr>
        <w:t>Commercial Activities and Non-financial investments funding need</w:t>
      </w:r>
    </w:p>
    <w:p w:rsidR="002F1361" w:rsidRDefault="002F1361" w:rsidP="00F33978">
      <w:pPr>
        <w:rPr>
          <w:rFonts w:eastAsia="Times New Roman" w:cs="Times New Roman"/>
        </w:rPr>
      </w:pPr>
    </w:p>
    <w:p w:rsidR="00C137F5" w:rsidRDefault="00C137F5" w:rsidP="00382E19">
      <w:pPr>
        <w:ind w:left="851"/>
        <w:rPr>
          <w:rFonts w:eastAsia="Times New Roman" w:cs="Times New Roman"/>
        </w:rPr>
      </w:pPr>
      <w:r w:rsidRPr="00C137F5">
        <w:rPr>
          <w:noProof/>
          <w:lang w:eastAsia="en-GB"/>
        </w:rPr>
        <w:drawing>
          <wp:inline distT="0" distB="0" distL="0" distR="0">
            <wp:extent cx="79057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323975"/>
                    </a:xfrm>
                    <a:prstGeom prst="rect">
                      <a:avLst/>
                    </a:prstGeom>
                    <a:noFill/>
                    <a:ln>
                      <a:noFill/>
                    </a:ln>
                  </pic:spPr>
                </pic:pic>
              </a:graphicData>
            </a:graphic>
          </wp:inline>
        </w:drawing>
      </w:r>
    </w:p>
    <w:p w:rsidR="00ED264E" w:rsidRDefault="00ED264E">
      <w:pPr>
        <w:rPr>
          <w:b/>
        </w:rPr>
      </w:pPr>
      <w:r>
        <w:rPr>
          <w:b/>
        </w:rPr>
        <w:br w:type="page"/>
      </w:r>
    </w:p>
    <w:p w:rsidR="00785C78" w:rsidRPr="005D4792" w:rsidRDefault="00785C78" w:rsidP="00785C78">
      <w:pPr>
        <w:tabs>
          <w:tab w:val="left" w:pos="426"/>
        </w:tabs>
        <w:rPr>
          <w:b/>
        </w:rPr>
      </w:pPr>
      <w:r>
        <w:rPr>
          <w:b/>
        </w:rPr>
        <w:lastRenderedPageBreak/>
        <w:t>B</w:t>
      </w:r>
      <w:r w:rsidRPr="005D4792">
        <w:rPr>
          <w:b/>
        </w:rPr>
        <w:t>.</w:t>
      </w:r>
      <w:r w:rsidRPr="005D4792">
        <w:rPr>
          <w:b/>
        </w:rPr>
        <w:tab/>
      </w:r>
      <w:r>
        <w:rPr>
          <w:b/>
        </w:rPr>
        <w:t>Affordability</w:t>
      </w:r>
    </w:p>
    <w:p w:rsidR="00785C78" w:rsidRDefault="00785C78" w:rsidP="00785C78">
      <w:pPr>
        <w:spacing w:after="120"/>
        <w:rPr>
          <w:rFonts w:eastAsia="Times New Roman" w:cs="Times New Roman"/>
        </w:rPr>
      </w:pPr>
    </w:p>
    <w:p w:rsidR="00785C78" w:rsidRDefault="00785C78" w:rsidP="00785C78">
      <w:pPr>
        <w:numPr>
          <w:ilvl w:val="0"/>
          <w:numId w:val="1"/>
        </w:numPr>
        <w:tabs>
          <w:tab w:val="clear" w:pos="862"/>
          <w:tab w:val="num" w:pos="709"/>
        </w:tabs>
        <w:spacing w:after="120"/>
        <w:ind w:left="426"/>
        <w:rPr>
          <w:rFonts w:eastAsia="Times New Roman" w:cs="Times New Roman"/>
        </w:rPr>
      </w:pPr>
      <w:r w:rsidRPr="00785C78">
        <w:rPr>
          <w:rFonts w:eastAsia="Times New Roman" w:cs="Times New Roman"/>
        </w:rPr>
        <w:t>This indicator represents the estimate of the ratio of financing costs to the net revenue stream for both the HRA and General Fund.</w:t>
      </w:r>
      <w:r>
        <w:rPr>
          <w:rFonts w:eastAsia="Times New Roman" w:cs="Times New Roman"/>
        </w:rPr>
        <w:t xml:space="preserve">  The General Fund has net interest income and so the indicator is interpreted such that the larger the negative percentage figure becomes, the more reliant the General Fund is on the net interest income.  Note that this includes both investment income and borrowing costs.</w:t>
      </w:r>
    </w:p>
    <w:p w:rsidR="00785C78" w:rsidRDefault="00785C78" w:rsidP="00785C78">
      <w:pPr>
        <w:numPr>
          <w:ilvl w:val="0"/>
          <w:numId w:val="1"/>
        </w:numPr>
        <w:tabs>
          <w:tab w:val="clear" w:pos="862"/>
          <w:tab w:val="num" w:pos="709"/>
        </w:tabs>
        <w:spacing w:after="120"/>
        <w:ind w:left="426"/>
        <w:rPr>
          <w:rFonts w:eastAsia="Times New Roman" w:cs="Times New Roman"/>
        </w:rPr>
      </w:pPr>
      <w:r>
        <w:rPr>
          <w:rFonts w:eastAsia="Times New Roman" w:cs="Times New Roman"/>
        </w:rPr>
        <w:t>The HRA has net interest expenditure and this indicator</w:t>
      </w:r>
      <w:r w:rsidRPr="00785C78">
        <w:rPr>
          <w:rFonts w:eastAsia="Times New Roman" w:cs="Times New Roman"/>
        </w:rPr>
        <w:t xml:space="preserve"> is interpreted such that the larger the </w:t>
      </w:r>
      <w:r>
        <w:rPr>
          <w:rFonts w:eastAsia="Times New Roman" w:cs="Times New Roman"/>
        </w:rPr>
        <w:t xml:space="preserve">positive percentage </w:t>
      </w:r>
      <w:r w:rsidRPr="00785C78">
        <w:rPr>
          <w:rFonts w:eastAsia="Times New Roman" w:cs="Times New Roman"/>
        </w:rPr>
        <w:t xml:space="preserve">figure becomes, the more </w:t>
      </w:r>
      <w:r>
        <w:rPr>
          <w:rFonts w:eastAsia="Times New Roman" w:cs="Times New Roman"/>
        </w:rPr>
        <w:t>HRA resources are used to finance the net debt costs</w:t>
      </w:r>
      <w:r w:rsidRPr="00785C78">
        <w:rPr>
          <w:rFonts w:eastAsia="Times New Roman" w:cs="Times New Roman"/>
        </w:rPr>
        <w:t>.</w:t>
      </w:r>
    </w:p>
    <w:p w:rsidR="00785C78" w:rsidRDefault="00785C78" w:rsidP="00785C78">
      <w:pPr>
        <w:spacing w:after="120"/>
        <w:ind w:left="426"/>
        <w:rPr>
          <w:rFonts w:eastAsia="Times New Roman" w:cs="Times New Roman"/>
        </w:rPr>
      </w:pPr>
    </w:p>
    <w:p w:rsidR="00785C78" w:rsidRDefault="00785C78" w:rsidP="00785C78">
      <w:pPr>
        <w:rPr>
          <w:rFonts w:eastAsia="Times New Roman" w:cs="Times New Roman"/>
          <w:b/>
        </w:rPr>
      </w:pPr>
      <w:r>
        <w:rPr>
          <w:rFonts w:eastAsia="Times New Roman" w:cs="Times New Roman"/>
          <w:b/>
        </w:rPr>
        <w:t>Table 3</w:t>
      </w:r>
      <w:r w:rsidRPr="00E17AF1">
        <w:rPr>
          <w:rFonts w:eastAsia="Times New Roman" w:cs="Times New Roman"/>
          <w:b/>
        </w:rPr>
        <w:t>:-</w:t>
      </w:r>
      <w:r>
        <w:rPr>
          <w:rFonts w:eastAsia="Times New Roman" w:cs="Times New Roman"/>
          <w:b/>
        </w:rPr>
        <w:t xml:space="preserve"> </w:t>
      </w:r>
      <w:r w:rsidRPr="00785C78">
        <w:rPr>
          <w:rFonts w:eastAsia="Times New Roman" w:cs="Times New Roman"/>
          <w:b/>
        </w:rPr>
        <w:t>Ratio of Financing Costs to Net Revenue Stream</w:t>
      </w:r>
    </w:p>
    <w:p w:rsidR="00785C78" w:rsidRDefault="00785C78" w:rsidP="00785C78">
      <w:pPr>
        <w:rPr>
          <w:rFonts w:eastAsia="Times New Roman" w:cs="Times New Roman"/>
        </w:rPr>
      </w:pPr>
    </w:p>
    <w:p w:rsidR="00785C78" w:rsidRDefault="001C71CC" w:rsidP="00382E19">
      <w:pPr>
        <w:ind w:left="851"/>
        <w:rPr>
          <w:rFonts w:eastAsia="Times New Roman" w:cs="Times New Roman"/>
        </w:rPr>
      </w:pPr>
      <w:r w:rsidRPr="001C71CC">
        <w:rPr>
          <w:noProof/>
          <w:lang w:eastAsia="en-GB"/>
        </w:rPr>
        <w:drawing>
          <wp:inline distT="0" distB="0" distL="0" distR="0">
            <wp:extent cx="7905750" cy="2924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0" cy="2924175"/>
                    </a:xfrm>
                    <a:prstGeom prst="rect">
                      <a:avLst/>
                    </a:prstGeom>
                    <a:noFill/>
                    <a:ln>
                      <a:noFill/>
                    </a:ln>
                  </pic:spPr>
                </pic:pic>
              </a:graphicData>
            </a:graphic>
          </wp:inline>
        </w:drawing>
      </w:r>
    </w:p>
    <w:p w:rsidR="00785C78" w:rsidRDefault="00785C78" w:rsidP="00785C78">
      <w:pPr>
        <w:rPr>
          <w:rFonts w:eastAsia="Times New Roman" w:cs="Times New Roman"/>
        </w:rPr>
      </w:pPr>
    </w:p>
    <w:p w:rsidR="001C71CC" w:rsidRPr="005D4792" w:rsidRDefault="001C71CC" w:rsidP="001C71CC">
      <w:pPr>
        <w:tabs>
          <w:tab w:val="left" w:pos="426"/>
        </w:tabs>
        <w:rPr>
          <w:b/>
        </w:rPr>
      </w:pPr>
      <w:r w:rsidRPr="005D4792">
        <w:rPr>
          <w:b/>
        </w:rPr>
        <w:t>C.</w:t>
      </w:r>
      <w:r w:rsidRPr="005D4792">
        <w:rPr>
          <w:b/>
        </w:rPr>
        <w:tab/>
      </w:r>
      <w:r>
        <w:rPr>
          <w:b/>
        </w:rPr>
        <w:t>The Council’s Borrowing Need (the Capital Financing Requirement)</w:t>
      </w:r>
    </w:p>
    <w:p w:rsidR="001C71CC" w:rsidRDefault="001C71CC" w:rsidP="00785C78">
      <w:pPr>
        <w:rPr>
          <w:rFonts w:eastAsia="Times New Roman" w:cs="Times New Roman"/>
        </w:rPr>
      </w:pPr>
    </w:p>
    <w:p w:rsidR="00785C78" w:rsidRDefault="001C71CC" w:rsidP="001C71CC">
      <w:pPr>
        <w:numPr>
          <w:ilvl w:val="0"/>
          <w:numId w:val="1"/>
        </w:numPr>
        <w:tabs>
          <w:tab w:val="clear" w:pos="862"/>
        </w:tabs>
        <w:spacing w:after="120"/>
        <w:ind w:left="426"/>
        <w:rPr>
          <w:rFonts w:eastAsia="Times New Roman" w:cs="Times New Roman"/>
        </w:rPr>
      </w:pPr>
      <w:r>
        <w:rPr>
          <w:rFonts w:eastAsia="Times New Roman" w:cs="Times New Roman"/>
        </w:rPr>
        <w:t xml:space="preserve">This </w:t>
      </w:r>
      <w:r w:rsidRPr="001C71CC">
        <w:rPr>
          <w:rFonts w:eastAsia="Times New Roman" w:cs="Times New Roman"/>
        </w:rPr>
        <w:t>prudential indicator</w:t>
      </w:r>
      <w:r>
        <w:rPr>
          <w:rFonts w:eastAsia="Times New Roman" w:cs="Times New Roman"/>
        </w:rPr>
        <w:t xml:space="preserve"> relates to</w:t>
      </w:r>
      <w:r w:rsidRPr="001C71CC">
        <w:rPr>
          <w:rFonts w:eastAsia="Times New Roman" w:cs="Times New Roman"/>
        </w:rPr>
        <w:t xml:space="preserve"> the Council’s Capital Financing Requirement (CFR).  The CFR is simply the total historic outstanding capital expenditure which has not yet been paid for from either revenue or capital resources. It is essentially a measure of the Council’s indebtedness and so </w:t>
      </w:r>
      <w:proofErr w:type="gramStart"/>
      <w:r w:rsidRPr="001C71CC">
        <w:rPr>
          <w:rFonts w:eastAsia="Times New Roman" w:cs="Times New Roman"/>
        </w:rPr>
        <w:t>its</w:t>
      </w:r>
      <w:proofErr w:type="gramEnd"/>
      <w:r w:rsidRPr="001C71CC">
        <w:rPr>
          <w:rFonts w:eastAsia="Times New Roman" w:cs="Times New Roman"/>
        </w:rPr>
        <w:t xml:space="preserve"> underlying borrowing need.  Any capital expenditure above</w:t>
      </w:r>
      <w:r>
        <w:rPr>
          <w:rFonts w:eastAsia="Times New Roman" w:cs="Times New Roman"/>
        </w:rPr>
        <w:t xml:space="preserve"> in Table 1</w:t>
      </w:r>
      <w:r w:rsidRPr="001C71CC">
        <w:rPr>
          <w:rFonts w:eastAsia="Times New Roman" w:cs="Times New Roman"/>
        </w:rPr>
        <w:t>, which has not immediately been paid for through a revenue or capital resource, will increase the CFR.</w:t>
      </w:r>
    </w:p>
    <w:p w:rsidR="001C71CC" w:rsidRDefault="001C71CC" w:rsidP="001C71CC">
      <w:pPr>
        <w:numPr>
          <w:ilvl w:val="0"/>
          <w:numId w:val="1"/>
        </w:numPr>
        <w:tabs>
          <w:tab w:val="clear" w:pos="862"/>
        </w:tabs>
        <w:spacing w:after="120"/>
        <w:ind w:left="426"/>
        <w:rPr>
          <w:rFonts w:eastAsia="Times New Roman" w:cs="Times New Roman"/>
        </w:rPr>
      </w:pPr>
      <w:r w:rsidRPr="001C71CC">
        <w:rPr>
          <w:rFonts w:eastAsia="Times New Roman" w:cs="Times New Roman"/>
        </w:rPr>
        <w:t>The CFR does not increase indefinitely, as the minimum revenue provision (MRP)</w:t>
      </w:r>
      <w:r>
        <w:rPr>
          <w:rFonts w:eastAsia="Times New Roman" w:cs="Times New Roman"/>
        </w:rPr>
        <w:t>, which i</w:t>
      </w:r>
      <w:r w:rsidRPr="001C71CC">
        <w:rPr>
          <w:rFonts w:eastAsia="Times New Roman" w:cs="Times New Roman"/>
        </w:rPr>
        <w:t>s a statutory annual revenue charge</w:t>
      </w:r>
      <w:r>
        <w:rPr>
          <w:rFonts w:eastAsia="Times New Roman" w:cs="Times New Roman"/>
        </w:rPr>
        <w:t xml:space="preserve">, </w:t>
      </w:r>
      <w:r w:rsidRPr="001C71CC">
        <w:rPr>
          <w:rFonts w:eastAsia="Times New Roman" w:cs="Times New Roman"/>
        </w:rPr>
        <w:t xml:space="preserve">reduces the indebtedness </w:t>
      </w:r>
      <w:r>
        <w:rPr>
          <w:rFonts w:eastAsia="Times New Roman" w:cs="Times New Roman"/>
        </w:rPr>
        <w:t xml:space="preserve">broadly </w:t>
      </w:r>
      <w:r w:rsidRPr="001C71CC">
        <w:rPr>
          <w:rFonts w:eastAsia="Times New Roman" w:cs="Times New Roman"/>
        </w:rPr>
        <w:t>in line with each assets life, and so charges the economic consumption of capital assets as they are used.</w:t>
      </w:r>
    </w:p>
    <w:p w:rsidR="005E0B13" w:rsidRDefault="005E0B13" w:rsidP="001C71CC">
      <w:pPr>
        <w:numPr>
          <w:ilvl w:val="0"/>
          <w:numId w:val="1"/>
        </w:numPr>
        <w:tabs>
          <w:tab w:val="clear" w:pos="862"/>
        </w:tabs>
        <w:spacing w:after="120"/>
        <w:ind w:left="426"/>
        <w:rPr>
          <w:rFonts w:eastAsia="Times New Roman" w:cs="Times New Roman"/>
        </w:rPr>
      </w:pPr>
      <w:r>
        <w:rPr>
          <w:rFonts w:eastAsia="Times New Roman" w:cs="Times New Roman"/>
        </w:rPr>
        <w:lastRenderedPageBreak/>
        <w:t>The table shows the amount of the CFR which is needed to finance the “commercial activities” / non-financial investments.</w:t>
      </w:r>
    </w:p>
    <w:p w:rsidR="00991031" w:rsidRDefault="00991031" w:rsidP="00991031">
      <w:pPr>
        <w:spacing w:after="120"/>
        <w:ind w:left="426"/>
        <w:rPr>
          <w:rFonts w:eastAsia="Times New Roman" w:cs="Times New Roman"/>
        </w:rPr>
      </w:pPr>
    </w:p>
    <w:p w:rsidR="001C71CC" w:rsidRDefault="001C71CC" w:rsidP="001C71CC">
      <w:pPr>
        <w:rPr>
          <w:rFonts w:eastAsia="Times New Roman" w:cs="Times New Roman"/>
          <w:b/>
        </w:rPr>
      </w:pPr>
      <w:r>
        <w:rPr>
          <w:rFonts w:eastAsia="Times New Roman" w:cs="Times New Roman"/>
          <w:b/>
        </w:rPr>
        <w:t>Table 4</w:t>
      </w:r>
      <w:r w:rsidRPr="00E17AF1">
        <w:rPr>
          <w:rFonts w:eastAsia="Times New Roman" w:cs="Times New Roman"/>
          <w:b/>
        </w:rPr>
        <w:t>:-</w:t>
      </w:r>
      <w:r>
        <w:rPr>
          <w:rFonts w:eastAsia="Times New Roman" w:cs="Times New Roman"/>
          <w:b/>
        </w:rPr>
        <w:t xml:space="preserve"> </w:t>
      </w:r>
      <w:r w:rsidRPr="001C71CC">
        <w:rPr>
          <w:rFonts w:eastAsia="Times New Roman" w:cs="Times New Roman"/>
          <w:b/>
        </w:rPr>
        <w:t>Estimates of capital financing requirement (underlying need to borrow for a capital purpose)</w:t>
      </w:r>
    </w:p>
    <w:p w:rsidR="001C71CC" w:rsidRDefault="001C71CC" w:rsidP="001C71CC">
      <w:pPr>
        <w:rPr>
          <w:rFonts w:eastAsia="Times New Roman" w:cs="Times New Roman"/>
        </w:rPr>
      </w:pPr>
    </w:p>
    <w:p w:rsidR="001C71CC" w:rsidRDefault="001C71CC" w:rsidP="00382E19">
      <w:pPr>
        <w:spacing w:after="120"/>
        <w:ind w:left="851"/>
        <w:rPr>
          <w:rFonts w:eastAsia="Times New Roman" w:cs="Times New Roman"/>
        </w:rPr>
      </w:pPr>
      <w:r w:rsidRPr="001C71CC">
        <w:rPr>
          <w:noProof/>
          <w:lang w:eastAsia="en-GB"/>
        </w:rPr>
        <w:drawing>
          <wp:inline distT="0" distB="0" distL="0" distR="0">
            <wp:extent cx="7905750" cy="312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0" cy="3124200"/>
                    </a:xfrm>
                    <a:prstGeom prst="rect">
                      <a:avLst/>
                    </a:prstGeom>
                    <a:noFill/>
                    <a:ln>
                      <a:noFill/>
                    </a:ln>
                  </pic:spPr>
                </pic:pic>
              </a:graphicData>
            </a:graphic>
          </wp:inline>
        </w:drawing>
      </w:r>
    </w:p>
    <w:p w:rsidR="001C71CC" w:rsidRDefault="001C71CC" w:rsidP="001C71CC">
      <w:pPr>
        <w:spacing w:after="120"/>
        <w:ind w:left="426"/>
        <w:rPr>
          <w:rFonts w:eastAsia="Times New Roman" w:cs="Times New Roman"/>
        </w:rPr>
      </w:pPr>
    </w:p>
    <w:p w:rsidR="001C71CC" w:rsidRPr="005D4792" w:rsidRDefault="001C71CC" w:rsidP="001C71CC">
      <w:pPr>
        <w:tabs>
          <w:tab w:val="left" w:pos="426"/>
        </w:tabs>
        <w:rPr>
          <w:b/>
        </w:rPr>
      </w:pPr>
      <w:r>
        <w:rPr>
          <w:b/>
        </w:rPr>
        <w:t>D</w:t>
      </w:r>
      <w:r w:rsidRPr="005D4792">
        <w:rPr>
          <w:b/>
        </w:rPr>
        <w:t>.</w:t>
      </w:r>
      <w:r w:rsidRPr="005D4792">
        <w:rPr>
          <w:b/>
        </w:rPr>
        <w:tab/>
      </w:r>
      <w:r w:rsidR="005E0B13" w:rsidRPr="005E0B13">
        <w:rPr>
          <w:b/>
        </w:rPr>
        <w:t>Core Funds and Expected Investment Balances</w:t>
      </w:r>
    </w:p>
    <w:p w:rsidR="001C71CC" w:rsidRDefault="001C71CC" w:rsidP="001C71CC">
      <w:pPr>
        <w:rPr>
          <w:rFonts w:eastAsia="Times New Roman" w:cs="Times New Roman"/>
        </w:rPr>
      </w:pPr>
    </w:p>
    <w:p w:rsidR="001C71CC" w:rsidRDefault="005E0B13" w:rsidP="005E0B13">
      <w:pPr>
        <w:numPr>
          <w:ilvl w:val="0"/>
          <w:numId w:val="1"/>
        </w:numPr>
        <w:tabs>
          <w:tab w:val="clear" w:pos="862"/>
        </w:tabs>
        <w:spacing w:after="120"/>
        <w:ind w:left="426"/>
        <w:rPr>
          <w:rFonts w:eastAsia="Times New Roman" w:cs="Times New Roman"/>
        </w:rPr>
      </w:pPr>
      <w:r w:rsidRPr="005E0B13">
        <w:rPr>
          <w:rFonts w:eastAsia="Times New Roman" w:cs="Times New Roman"/>
        </w:rPr>
        <w:t xml:space="preserve">The application of resources (capital receipts, reserves etc.) to either finance capital expenditure or </w:t>
      </w:r>
      <w:r>
        <w:rPr>
          <w:rFonts w:eastAsia="Times New Roman" w:cs="Times New Roman"/>
        </w:rPr>
        <w:t xml:space="preserve">used on </w:t>
      </w:r>
      <w:r w:rsidRPr="005E0B13">
        <w:rPr>
          <w:rFonts w:eastAsia="Times New Roman" w:cs="Times New Roman"/>
        </w:rPr>
        <w:t>other budget decisions to support the revenue budget will have an ongoing impact on investments unless resources are supplemented each year from new sources (asset sales etc.).  Detailed below are estimates of the year-end balances for each resource and anticipated day-to-day cash flow balances.</w:t>
      </w:r>
    </w:p>
    <w:p w:rsidR="001C71CC" w:rsidRDefault="001C71CC" w:rsidP="001C71CC">
      <w:pPr>
        <w:spacing w:after="120"/>
        <w:ind w:left="426"/>
        <w:rPr>
          <w:rFonts w:eastAsia="Times New Roman" w:cs="Times New Roman"/>
        </w:rPr>
      </w:pPr>
    </w:p>
    <w:p w:rsidR="00991031" w:rsidRDefault="00991031">
      <w:pPr>
        <w:rPr>
          <w:rFonts w:eastAsia="Times New Roman" w:cs="Times New Roman"/>
          <w:b/>
        </w:rPr>
      </w:pPr>
      <w:r>
        <w:rPr>
          <w:rFonts w:eastAsia="Times New Roman" w:cs="Times New Roman"/>
          <w:b/>
        </w:rPr>
        <w:br w:type="page"/>
      </w:r>
    </w:p>
    <w:p w:rsidR="005E0B13" w:rsidRDefault="005E0B13" w:rsidP="005E0B13">
      <w:pPr>
        <w:rPr>
          <w:rFonts w:eastAsia="Times New Roman" w:cs="Times New Roman"/>
          <w:b/>
        </w:rPr>
      </w:pPr>
      <w:r>
        <w:rPr>
          <w:rFonts w:eastAsia="Times New Roman" w:cs="Times New Roman"/>
          <w:b/>
        </w:rPr>
        <w:lastRenderedPageBreak/>
        <w:t>Table 5</w:t>
      </w:r>
      <w:r w:rsidRPr="00E17AF1">
        <w:rPr>
          <w:rFonts w:eastAsia="Times New Roman" w:cs="Times New Roman"/>
          <w:b/>
        </w:rPr>
        <w:t>:-</w:t>
      </w:r>
      <w:r>
        <w:rPr>
          <w:rFonts w:eastAsia="Times New Roman" w:cs="Times New Roman"/>
          <w:b/>
        </w:rPr>
        <w:t xml:space="preserve"> </w:t>
      </w:r>
      <w:r w:rsidRPr="005E0B13">
        <w:rPr>
          <w:rFonts w:eastAsia="Times New Roman" w:cs="Times New Roman"/>
          <w:b/>
        </w:rPr>
        <w:t>Core Funds and Expected Investment Balances</w:t>
      </w:r>
    </w:p>
    <w:p w:rsidR="005E0B13" w:rsidRDefault="005E0B13" w:rsidP="005E0B13">
      <w:pPr>
        <w:rPr>
          <w:rFonts w:eastAsia="Times New Roman" w:cs="Times New Roman"/>
        </w:rPr>
      </w:pPr>
    </w:p>
    <w:p w:rsidR="005E0B13" w:rsidRDefault="005E0B13" w:rsidP="00382E19">
      <w:pPr>
        <w:spacing w:after="120"/>
        <w:ind w:left="851"/>
        <w:rPr>
          <w:rFonts w:eastAsia="Times New Roman" w:cs="Times New Roman"/>
        </w:rPr>
      </w:pPr>
      <w:r w:rsidRPr="005E0B13">
        <w:rPr>
          <w:noProof/>
          <w:lang w:eastAsia="en-GB"/>
        </w:rPr>
        <w:drawing>
          <wp:inline distT="0" distB="0" distL="0" distR="0">
            <wp:extent cx="7905750" cy="2333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0" cy="2333625"/>
                    </a:xfrm>
                    <a:prstGeom prst="rect">
                      <a:avLst/>
                    </a:prstGeom>
                    <a:noFill/>
                    <a:ln>
                      <a:noFill/>
                    </a:ln>
                  </pic:spPr>
                </pic:pic>
              </a:graphicData>
            </a:graphic>
          </wp:inline>
        </w:drawing>
      </w:r>
    </w:p>
    <w:p w:rsidR="005E0B13" w:rsidRDefault="005E0B13" w:rsidP="001C71CC">
      <w:pPr>
        <w:spacing w:after="120"/>
        <w:ind w:left="426"/>
        <w:rPr>
          <w:rFonts w:eastAsia="Times New Roman" w:cs="Times New Roman"/>
        </w:rPr>
      </w:pPr>
      <w:r>
        <w:rPr>
          <w:rFonts w:eastAsia="Times New Roman" w:cs="Times New Roman"/>
        </w:rPr>
        <w:t>*</w:t>
      </w:r>
      <w:r>
        <w:rPr>
          <w:rFonts w:eastAsia="Times New Roman" w:cs="Times New Roman"/>
        </w:rPr>
        <w:tab/>
      </w:r>
      <w:r w:rsidRPr="005E0B13">
        <w:rPr>
          <w:rFonts w:eastAsia="Times New Roman" w:cs="Times New Roman"/>
        </w:rPr>
        <w:t>Working capital balances shown are estimated year-end; these may be higher mid-year</w:t>
      </w:r>
    </w:p>
    <w:p w:rsidR="005E0B13" w:rsidRDefault="005E0B13" w:rsidP="001C71CC">
      <w:pPr>
        <w:spacing w:after="120"/>
        <w:ind w:left="426"/>
        <w:rPr>
          <w:rFonts w:eastAsia="Times New Roman" w:cs="Times New Roman"/>
        </w:rPr>
      </w:pPr>
      <w:r>
        <w:rPr>
          <w:rFonts w:eastAsia="Times New Roman" w:cs="Times New Roman"/>
        </w:rPr>
        <w:t>**</w:t>
      </w:r>
      <w:r>
        <w:rPr>
          <w:rFonts w:eastAsia="Times New Roman" w:cs="Times New Roman"/>
        </w:rPr>
        <w:tab/>
        <w:t xml:space="preserve">Under / Over Borrowing is the difference between the Council’s CFR and external borrowing.  The Council maximises use of </w:t>
      </w:r>
      <w:proofErr w:type="spellStart"/>
      <w:r>
        <w:rPr>
          <w:rFonts w:eastAsia="Times New Roman" w:cs="Times New Roman"/>
        </w:rPr>
        <w:t>internl</w:t>
      </w:r>
      <w:proofErr w:type="spellEnd"/>
      <w:r>
        <w:rPr>
          <w:rFonts w:eastAsia="Times New Roman" w:cs="Times New Roman"/>
        </w:rPr>
        <w:t xml:space="preserve"> balances where possible to reduce borrowing costs.  A level of cash resource must be maintained to ensure that </w:t>
      </w:r>
      <w:proofErr w:type="spellStart"/>
      <w:r>
        <w:rPr>
          <w:rFonts w:eastAsia="Times New Roman" w:cs="Times New Roman"/>
        </w:rPr>
        <w:t>cashflow</w:t>
      </w:r>
      <w:proofErr w:type="spellEnd"/>
      <w:r>
        <w:rPr>
          <w:rFonts w:eastAsia="Times New Roman" w:cs="Times New Roman"/>
        </w:rPr>
        <w:t xml:space="preserve"> variations during the year can be accommodated.</w:t>
      </w:r>
    </w:p>
    <w:p w:rsidR="005E0B13" w:rsidRDefault="005E0B13" w:rsidP="001C71CC">
      <w:pPr>
        <w:spacing w:after="120"/>
        <w:ind w:left="426"/>
        <w:rPr>
          <w:rFonts w:eastAsia="Times New Roman" w:cs="Times New Roman"/>
        </w:rPr>
      </w:pPr>
      <w:r>
        <w:rPr>
          <w:rFonts w:eastAsia="Times New Roman" w:cs="Times New Roman"/>
        </w:rPr>
        <w:t>***</w:t>
      </w:r>
      <w:r>
        <w:rPr>
          <w:rFonts w:eastAsia="Times New Roman" w:cs="Times New Roman"/>
        </w:rPr>
        <w:tab/>
        <w:t xml:space="preserve">This is the level of expected investments at the end of the year; during the year these will often be much higher due to </w:t>
      </w:r>
      <w:proofErr w:type="spellStart"/>
      <w:r>
        <w:rPr>
          <w:rFonts w:eastAsia="Times New Roman" w:cs="Times New Roman"/>
        </w:rPr>
        <w:t>cashflows</w:t>
      </w:r>
      <w:proofErr w:type="spellEnd"/>
      <w:r>
        <w:rPr>
          <w:rFonts w:eastAsia="Times New Roman" w:cs="Times New Roman"/>
        </w:rPr>
        <w:t>.</w:t>
      </w:r>
    </w:p>
    <w:p w:rsidR="005E0B13" w:rsidRDefault="005E0B13" w:rsidP="001C71CC">
      <w:pPr>
        <w:spacing w:after="120"/>
        <w:ind w:left="426"/>
        <w:rPr>
          <w:rFonts w:eastAsia="Times New Roman" w:cs="Times New Roman"/>
        </w:rPr>
      </w:pPr>
    </w:p>
    <w:p w:rsidR="005E0B13" w:rsidRPr="005D4792" w:rsidRDefault="00382E19" w:rsidP="005E0B13">
      <w:pPr>
        <w:tabs>
          <w:tab w:val="left" w:pos="426"/>
        </w:tabs>
        <w:rPr>
          <w:b/>
        </w:rPr>
      </w:pPr>
      <w:r>
        <w:rPr>
          <w:b/>
        </w:rPr>
        <w:t>E</w:t>
      </w:r>
      <w:r w:rsidR="005E0B13" w:rsidRPr="005D4792">
        <w:rPr>
          <w:b/>
        </w:rPr>
        <w:t>.</w:t>
      </w:r>
      <w:r w:rsidR="005E0B13" w:rsidRPr="005D4792">
        <w:rPr>
          <w:b/>
        </w:rPr>
        <w:tab/>
      </w:r>
      <w:r w:rsidR="005E0B13">
        <w:rPr>
          <w:b/>
        </w:rPr>
        <w:t>External Debt</w:t>
      </w:r>
      <w:r>
        <w:rPr>
          <w:b/>
        </w:rPr>
        <w:t xml:space="preserve"> and Treasury Management</w:t>
      </w:r>
    </w:p>
    <w:p w:rsidR="005E0B13" w:rsidRDefault="005E0B13" w:rsidP="005E0B13">
      <w:pPr>
        <w:rPr>
          <w:rFonts w:eastAsia="Times New Roman" w:cs="Times New Roman"/>
        </w:rPr>
      </w:pPr>
    </w:p>
    <w:p w:rsidR="005E0B13" w:rsidRDefault="005E0B13" w:rsidP="005E0B13">
      <w:pPr>
        <w:numPr>
          <w:ilvl w:val="0"/>
          <w:numId w:val="1"/>
        </w:numPr>
        <w:tabs>
          <w:tab w:val="clear" w:pos="862"/>
        </w:tabs>
        <w:spacing w:after="120"/>
        <w:ind w:left="426"/>
        <w:rPr>
          <w:rFonts w:eastAsia="Times New Roman" w:cs="Times New Roman"/>
        </w:rPr>
      </w:pPr>
      <w:r w:rsidRPr="005E0B13">
        <w:rPr>
          <w:rFonts w:eastAsia="Times New Roman" w:cs="Times New Roman"/>
        </w:rPr>
        <w:t xml:space="preserve">The </w:t>
      </w:r>
      <w:r w:rsidR="00F925FF">
        <w:rPr>
          <w:rFonts w:eastAsia="Times New Roman" w:cs="Times New Roman"/>
        </w:rPr>
        <w:t xml:space="preserve">Council’s forward projections for borrowing are summarised below. The table shows the anticipated external debt against the underlying capital borrowing need, the CFR.  </w:t>
      </w:r>
    </w:p>
    <w:p w:rsidR="00991031" w:rsidRDefault="00991031">
      <w:pPr>
        <w:rPr>
          <w:rFonts w:eastAsia="Times New Roman" w:cs="Times New Roman"/>
          <w:b/>
        </w:rPr>
      </w:pPr>
      <w:r>
        <w:rPr>
          <w:rFonts w:eastAsia="Times New Roman" w:cs="Times New Roman"/>
          <w:b/>
        </w:rPr>
        <w:br w:type="page"/>
      </w:r>
    </w:p>
    <w:p w:rsidR="00F925FF" w:rsidRDefault="00F925FF" w:rsidP="00F925FF">
      <w:pPr>
        <w:rPr>
          <w:rFonts w:eastAsia="Times New Roman" w:cs="Times New Roman"/>
          <w:b/>
        </w:rPr>
      </w:pPr>
      <w:r>
        <w:rPr>
          <w:rFonts w:eastAsia="Times New Roman" w:cs="Times New Roman"/>
          <w:b/>
        </w:rPr>
        <w:lastRenderedPageBreak/>
        <w:t>Table 6</w:t>
      </w:r>
      <w:r w:rsidRPr="00E17AF1">
        <w:rPr>
          <w:rFonts w:eastAsia="Times New Roman" w:cs="Times New Roman"/>
          <w:b/>
        </w:rPr>
        <w:t>:-</w:t>
      </w:r>
      <w:r>
        <w:rPr>
          <w:rFonts w:eastAsia="Times New Roman" w:cs="Times New Roman"/>
          <w:b/>
        </w:rPr>
        <w:t xml:space="preserve"> </w:t>
      </w:r>
      <w:r w:rsidRPr="00F925FF">
        <w:rPr>
          <w:rFonts w:eastAsia="Times New Roman" w:cs="Times New Roman"/>
          <w:b/>
        </w:rPr>
        <w:t>Debt against Underlying Borrowing Need</w:t>
      </w:r>
    </w:p>
    <w:p w:rsidR="00F925FF" w:rsidRDefault="00F925FF" w:rsidP="00F925FF">
      <w:pPr>
        <w:rPr>
          <w:rFonts w:eastAsia="Times New Roman" w:cs="Times New Roman"/>
        </w:rPr>
      </w:pPr>
    </w:p>
    <w:p w:rsidR="005E0B13" w:rsidRDefault="00F925FF" w:rsidP="008E6D4F">
      <w:pPr>
        <w:spacing w:after="120"/>
        <w:ind w:left="862"/>
        <w:rPr>
          <w:rFonts w:eastAsia="Times New Roman" w:cs="Times New Roman"/>
        </w:rPr>
      </w:pPr>
      <w:r w:rsidRPr="00F925FF">
        <w:rPr>
          <w:noProof/>
          <w:lang w:eastAsia="en-GB"/>
        </w:rPr>
        <w:drawing>
          <wp:inline distT="0" distB="0" distL="0" distR="0">
            <wp:extent cx="7905750" cy="1838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0" cy="1838325"/>
                    </a:xfrm>
                    <a:prstGeom prst="rect">
                      <a:avLst/>
                    </a:prstGeom>
                    <a:noFill/>
                    <a:ln>
                      <a:noFill/>
                    </a:ln>
                  </pic:spPr>
                </pic:pic>
              </a:graphicData>
            </a:graphic>
          </wp:inline>
        </w:drawing>
      </w:r>
    </w:p>
    <w:p w:rsidR="00F925FF" w:rsidRDefault="00F925FF" w:rsidP="005E0B13">
      <w:pPr>
        <w:spacing w:after="120"/>
        <w:ind w:left="426"/>
        <w:rPr>
          <w:rFonts w:eastAsia="Times New Roman" w:cs="Times New Roman"/>
        </w:rPr>
      </w:pPr>
    </w:p>
    <w:p w:rsidR="008E6D4F" w:rsidRDefault="00F925FF" w:rsidP="00382E19">
      <w:pPr>
        <w:numPr>
          <w:ilvl w:val="0"/>
          <w:numId w:val="1"/>
        </w:numPr>
        <w:tabs>
          <w:tab w:val="clear" w:pos="862"/>
          <w:tab w:val="num" w:pos="426"/>
        </w:tabs>
        <w:spacing w:after="120"/>
        <w:ind w:left="426"/>
        <w:rPr>
          <w:rFonts w:eastAsia="Times New Roman" w:cs="Times New Roman"/>
        </w:rPr>
      </w:pPr>
      <w:r>
        <w:rPr>
          <w:rFonts w:eastAsia="Times New Roman" w:cs="Times New Roman"/>
        </w:rPr>
        <w:t xml:space="preserve">The Council must set an operational boundary </w:t>
      </w:r>
      <w:r w:rsidR="008E6D4F">
        <w:rPr>
          <w:rFonts w:eastAsia="Times New Roman" w:cs="Times New Roman"/>
        </w:rPr>
        <w:t xml:space="preserve">which is </w:t>
      </w:r>
      <w:r w:rsidR="008E6D4F" w:rsidRPr="008E6D4F">
        <w:rPr>
          <w:rFonts w:eastAsia="Times New Roman" w:cs="Times New Roman"/>
        </w:rPr>
        <w:t xml:space="preserve">the limit beyond which external debt is not normally expected to exceed.  </w:t>
      </w:r>
      <w:r w:rsidR="008E6D4F">
        <w:rPr>
          <w:rFonts w:eastAsia="Times New Roman" w:cs="Times New Roman"/>
        </w:rPr>
        <w:t>This will be lower than the CFR where the Council uses internal resources to finance borrowing (i.e.is under borrowed).</w:t>
      </w:r>
      <w:r w:rsidR="008E6D4F" w:rsidRPr="00382E19">
        <w:rPr>
          <w:rFonts w:eastAsia="Times New Roman" w:cs="Times New Roman"/>
        </w:rPr>
        <w:t xml:space="preserve"> </w:t>
      </w:r>
      <w:r w:rsidR="008E6D4F" w:rsidRPr="008E6D4F">
        <w:rPr>
          <w:rFonts w:eastAsia="Times New Roman" w:cs="Times New Roman"/>
        </w:rPr>
        <w:t xml:space="preserve">The authorised limit is a key prudential indicator and represents a control on the maximum level of borrowing. This represents a legal limit beyond which external debt is prohibited, and this limit needs to be set or revised by the full Council.  It reflects the level of external debt which, while not desired, could be afforded in the short term, but is not </w:t>
      </w:r>
      <w:r w:rsidR="008E6D4F">
        <w:rPr>
          <w:rFonts w:eastAsia="Times New Roman" w:cs="Times New Roman"/>
        </w:rPr>
        <w:t xml:space="preserve">necessarily </w:t>
      </w:r>
      <w:r w:rsidR="008E6D4F" w:rsidRPr="008E6D4F">
        <w:rPr>
          <w:rFonts w:eastAsia="Times New Roman" w:cs="Times New Roman"/>
        </w:rPr>
        <w:t>sustainable in the longer term.</w:t>
      </w:r>
      <w:r w:rsidR="008E6D4F">
        <w:rPr>
          <w:rFonts w:eastAsia="Times New Roman" w:cs="Times New Roman"/>
        </w:rPr>
        <w:t xml:space="preserve">  This is set here at the level of the CFR to allow for flexibility depending on what happens with borrowing rates and to allow for borrowing in advance where this is supported by the capital plans or the CFR.  The authorised limit </w:t>
      </w:r>
      <w:r w:rsidR="008E6D4F" w:rsidRPr="008E6D4F">
        <w:rPr>
          <w:rFonts w:eastAsia="Times New Roman" w:cs="Times New Roman"/>
        </w:rPr>
        <w:t>is the statutory limit determined under section 3 (1) of the Local Government Act 2003. The Government retains an option to control either the total of all councils’ plans, or those of a specific council, although this power has not yet been exercised.</w:t>
      </w:r>
    </w:p>
    <w:p w:rsidR="00382E19" w:rsidRDefault="00382E19" w:rsidP="00382E19">
      <w:pPr>
        <w:spacing w:after="120"/>
        <w:ind w:left="426"/>
        <w:rPr>
          <w:rFonts w:eastAsia="Times New Roman" w:cs="Times New Roman"/>
        </w:rPr>
      </w:pPr>
    </w:p>
    <w:p w:rsidR="008E6D4F" w:rsidRDefault="008E6D4F" w:rsidP="008E6D4F">
      <w:pPr>
        <w:rPr>
          <w:rFonts w:eastAsia="Times New Roman" w:cs="Times New Roman"/>
          <w:b/>
        </w:rPr>
      </w:pPr>
      <w:r>
        <w:rPr>
          <w:rFonts w:eastAsia="Times New Roman" w:cs="Times New Roman"/>
          <w:b/>
        </w:rPr>
        <w:t>Table 7</w:t>
      </w:r>
      <w:r w:rsidRPr="00E17AF1">
        <w:rPr>
          <w:rFonts w:eastAsia="Times New Roman" w:cs="Times New Roman"/>
          <w:b/>
        </w:rPr>
        <w:t>:-</w:t>
      </w:r>
      <w:r>
        <w:rPr>
          <w:rFonts w:eastAsia="Times New Roman" w:cs="Times New Roman"/>
          <w:b/>
        </w:rPr>
        <w:t xml:space="preserve"> </w:t>
      </w:r>
      <w:r w:rsidRPr="008E6D4F">
        <w:rPr>
          <w:rFonts w:eastAsia="Times New Roman" w:cs="Times New Roman"/>
          <w:b/>
        </w:rPr>
        <w:t>Limits to borrowing activity</w:t>
      </w:r>
    </w:p>
    <w:p w:rsidR="008E6D4F" w:rsidRDefault="008E6D4F" w:rsidP="008E6D4F">
      <w:pPr>
        <w:rPr>
          <w:rFonts w:eastAsia="Times New Roman" w:cs="Times New Roman"/>
        </w:rPr>
      </w:pPr>
    </w:p>
    <w:p w:rsidR="008E6D4F" w:rsidRDefault="008E6D4F" w:rsidP="008E6D4F">
      <w:pPr>
        <w:spacing w:after="120"/>
        <w:ind w:left="862"/>
        <w:rPr>
          <w:rFonts w:eastAsia="Times New Roman" w:cs="Times New Roman"/>
        </w:rPr>
      </w:pPr>
      <w:r w:rsidRPr="008E6D4F">
        <w:rPr>
          <w:noProof/>
          <w:lang w:eastAsia="en-GB"/>
        </w:rPr>
        <w:drawing>
          <wp:inline distT="0" distB="0" distL="0" distR="0">
            <wp:extent cx="7905750" cy="98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0" cy="981075"/>
                    </a:xfrm>
                    <a:prstGeom prst="rect">
                      <a:avLst/>
                    </a:prstGeom>
                    <a:noFill/>
                    <a:ln>
                      <a:noFill/>
                    </a:ln>
                  </pic:spPr>
                </pic:pic>
              </a:graphicData>
            </a:graphic>
          </wp:inline>
        </w:drawing>
      </w:r>
    </w:p>
    <w:p w:rsidR="00B97E43" w:rsidRDefault="00B97E43" w:rsidP="008E6D4F">
      <w:pPr>
        <w:spacing w:after="120"/>
        <w:ind w:left="862"/>
        <w:rPr>
          <w:rFonts w:eastAsia="Times New Roman" w:cs="Times New Roman"/>
        </w:rPr>
      </w:pPr>
    </w:p>
    <w:p w:rsidR="00B97E43" w:rsidRDefault="00B97E43" w:rsidP="00382E19">
      <w:pPr>
        <w:numPr>
          <w:ilvl w:val="0"/>
          <w:numId w:val="1"/>
        </w:numPr>
        <w:tabs>
          <w:tab w:val="clear" w:pos="862"/>
          <w:tab w:val="num" w:pos="426"/>
        </w:tabs>
        <w:spacing w:after="120"/>
        <w:ind w:left="426"/>
        <w:rPr>
          <w:rFonts w:eastAsia="Times New Roman" w:cs="Times New Roman"/>
        </w:rPr>
      </w:pPr>
      <w:r w:rsidRPr="00B97E43">
        <w:rPr>
          <w:rFonts w:eastAsia="Times New Roman" w:cs="Times New Roman"/>
        </w:rPr>
        <w:t>These gross limits are set to reduce the Council’s exposure to large fixed rate sums falling due for refinancing, and are required for upper and lower limits.</w:t>
      </w:r>
      <w:r>
        <w:rPr>
          <w:rFonts w:eastAsia="Times New Roman" w:cs="Times New Roman"/>
        </w:rPr>
        <w:t xml:space="preserve">  </w:t>
      </w:r>
      <w:r w:rsidRPr="00B97E43">
        <w:rPr>
          <w:rFonts w:eastAsia="Times New Roman" w:cs="Times New Roman"/>
        </w:rPr>
        <w:t>The purpose of this and the following two prudential indicators is to contain the activity of the treasury function within certain limits, thereby managing risk and reducing the impact of an adver</w:t>
      </w:r>
      <w:r>
        <w:rPr>
          <w:rFonts w:eastAsia="Times New Roman" w:cs="Times New Roman"/>
        </w:rPr>
        <w:t>se movement in interest rates.</w:t>
      </w:r>
    </w:p>
    <w:p w:rsidR="008E6D4F" w:rsidRDefault="008E6D4F" w:rsidP="008E6D4F">
      <w:pPr>
        <w:spacing w:after="120"/>
        <w:ind w:left="862"/>
        <w:rPr>
          <w:rFonts w:eastAsia="Times New Roman" w:cs="Times New Roman"/>
        </w:rPr>
      </w:pPr>
    </w:p>
    <w:p w:rsidR="00B97E43" w:rsidRDefault="00B97E43" w:rsidP="00B97E43">
      <w:pPr>
        <w:rPr>
          <w:rFonts w:eastAsia="Times New Roman" w:cs="Times New Roman"/>
          <w:b/>
        </w:rPr>
      </w:pPr>
      <w:r>
        <w:rPr>
          <w:rFonts w:eastAsia="Times New Roman" w:cs="Times New Roman"/>
          <w:b/>
        </w:rPr>
        <w:t>Table 8</w:t>
      </w:r>
      <w:r w:rsidRPr="00E17AF1">
        <w:rPr>
          <w:rFonts w:eastAsia="Times New Roman" w:cs="Times New Roman"/>
          <w:b/>
        </w:rPr>
        <w:t>:-</w:t>
      </w:r>
      <w:r>
        <w:rPr>
          <w:rFonts w:eastAsia="Times New Roman" w:cs="Times New Roman"/>
          <w:b/>
        </w:rPr>
        <w:t xml:space="preserve"> Maturity Structure of Borrowing</w:t>
      </w:r>
    </w:p>
    <w:p w:rsidR="00B97E43" w:rsidRDefault="00B97E43" w:rsidP="008E6D4F">
      <w:pPr>
        <w:spacing w:after="120"/>
        <w:ind w:left="862"/>
        <w:rPr>
          <w:rFonts w:eastAsia="Times New Roman" w:cs="Times New Roman"/>
        </w:rPr>
      </w:pPr>
    </w:p>
    <w:p w:rsidR="00B97E43" w:rsidRDefault="00B97E43" w:rsidP="008E6D4F">
      <w:pPr>
        <w:spacing w:after="120"/>
        <w:ind w:left="862"/>
        <w:rPr>
          <w:rFonts w:eastAsia="Times New Roman" w:cs="Times New Roman"/>
        </w:rPr>
      </w:pPr>
      <w:r w:rsidRPr="00B97E43">
        <w:rPr>
          <w:noProof/>
          <w:lang w:eastAsia="en-GB"/>
        </w:rPr>
        <w:drawing>
          <wp:inline distT="0" distB="0" distL="0" distR="0">
            <wp:extent cx="3562350" cy="2314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2314575"/>
                    </a:xfrm>
                    <a:prstGeom prst="rect">
                      <a:avLst/>
                    </a:prstGeom>
                    <a:noFill/>
                    <a:ln>
                      <a:noFill/>
                    </a:ln>
                  </pic:spPr>
                </pic:pic>
              </a:graphicData>
            </a:graphic>
          </wp:inline>
        </w:drawing>
      </w:r>
    </w:p>
    <w:p w:rsidR="00B97E43" w:rsidRDefault="00B97E43" w:rsidP="008E6D4F">
      <w:pPr>
        <w:spacing w:after="120"/>
        <w:ind w:left="862"/>
        <w:rPr>
          <w:rFonts w:eastAsia="Times New Roman" w:cs="Times New Roman"/>
        </w:rPr>
      </w:pPr>
    </w:p>
    <w:p w:rsidR="00B97E43" w:rsidRDefault="00B97E43" w:rsidP="00B97E43">
      <w:pPr>
        <w:rPr>
          <w:rFonts w:eastAsia="Times New Roman" w:cs="Times New Roman"/>
          <w:b/>
        </w:rPr>
      </w:pPr>
      <w:r>
        <w:rPr>
          <w:rFonts w:eastAsia="Times New Roman" w:cs="Times New Roman"/>
          <w:b/>
        </w:rPr>
        <w:t>Table 9</w:t>
      </w:r>
      <w:r w:rsidRPr="00E17AF1">
        <w:rPr>
          <w:rFonts w:eastAsia="Times New Roman" w:cs="Times New Roman"/>
          <w:b/>
        </w:rPr>
        <w:t>:-</w:t>
      </w:r>
      <w:r>
        <w:rPr>
          <w:rFonts w:eastAsia="Times New Roman" w:cs="Times New Roman"/>
          <w:b/>
        </w:rPr>
        <w:t xml:space="preserve"> </w:t>
      </w:r>
      <w:r w:rsidRPr="00B97E43">
        <w:rPr>
          <w:rFonts w:eastAsia="Times New Roman" w:cs="Times New Roman"/>
          <w:b/>
        </w:rPr>
        <w:t>Upper limit on fixed and variable interest rate borrowing and investments</w:t>
      </w:r>
    </w:p>
    <w:p w:rsidR="00B97E43" w:rsidRDefault="00B97E43" w:rsidP="008E6D4F">
      <w:pPr>
        <w:spacing w:after="120"/>
        <w:ind w:left="862"/>
        <w:rPr>
          <w:rFonts w:eastAsia="Times New Roman" w:cs="Times New Roman"/>
        </w:rPr>
      </w:pPr>
    </w:p>
    <w:p w:rsidR="00B97E43" w:rsidRDefault="00B97E43" w:rsidP="00382E19">
      <w:pPr>
        <w:spacing w:after="120"/>
        <w:ind w:left="851"/>
        <w:rPr>
          <w:rFonts w:eastAsia="Times New Roman" w:cs="Times New Roman"/>
        </w:rPr>
      </w:pPr>
      <w:r w:rsidRPr="00B97E43">
        <w:rPr>
          <w:noProof/>
          <w:lang w:eastAsia="en-GB"/>
        </w:rPr>
        <w:drawing>
          <wp:inline distT="0" distB="0" distL="0" distR="0">
            <wp:extent cx="7910830" cy="2275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10830" cy="2275205"/>
                    </a:xfrm>
                    <a:prstGeom prst="rect">
                      <a:avLst/>
                    </a:prstGeom>
                    <a:noFill/>
                    <a:ln>
                      <a:noFill/>
                    </a:ln>
                  </pic:spPr>
                </pic:pic>
              </a:graphicData>
            </a:graphic>
          </wp:inline>
        </w:drawing>
      </w:r>
    </w:p>
    <w:p w:rsidR="00B97E43" w:rsidRDefault="00B97E43" w:rsidP="008E6D4F">
      <w:pPr>
        <w:spacing w:after="120"/>
        <w:ind w:left="862"/>
        <w:rPr>
          <w:rFonts w:eastAsia="Times New Roman" w:cs="Times New Roman"/>
        </w:rPr>
      </w:pPr>
    </w:p>
    <w:p w:rsidR="00991031" w:rsidRDefault="00991031">
      <w:pPr>
        <w:rPr>
          <w:rFonts w:eastAsia="Times New Roman" w:cs="Times New Roman"/>
        </w:rPr>
      </w:pPr>
      <w:r>
        <w:rPr>
          <w:rFonts w:eastAsia="Times New Roman" w:cs="Times New Roman"/>
        </w:rPr>
        <w:br w:type="page"/>
      </w:r>
    </w:p>
    <w:p w:rsidR="00382E19" w:rsidRDefault="00B97E43" w:rsidP="00382E19">
      <w:pPr>
        <w:numPr>
          <w:ilvl w:val="0"/>
          <w:numId w:val="1"/>
        </w:numPr>
        <w:tabs>
          <w:tab w:val="clear" w:pos="862"/>
          <w:tab w:val="num" w:pos="426"/>
        </w:tabs>
        <w:spacing w:after="120"/>
        <w:ind w:left="426"/>
        <w:rPr>
          <w:rFonts w:eastAsia="Times New Roman" w:cs="Times New Roman"/>
        </w:rPr>
      </w:pPr>
      <w:r>
        <w:rPr>
          <w:rFonts w:eastAsia="Times New Roman" w:cs="Times New Roman"/>
        </w:rPr>
        <w:lastRenderedPageBreak/>
        <w:t>Thi</w:t>
      </w:r>
      <w:r w:rsidRPr="00B97E43">
        <w:rPr>
          <w:rFonts w:eastAsia="Times New Roman" w:cs="Times New Roman"/>
        </w:rPr>
        <w:t>s</w:t>
      </w:r>
      <w:r>
        <w:rPr>
          <w:rFonts w:eastAsia="Times New Roman" w:cs="Times New Roman"/>
        </w:rPr>
        <w:t xml:space="preserve"> following indicator links to the </w:t>
      </w:r>
      <w:r w:rsidR="00382E19">
        <w:rPr>
          <w:rFonts w:eastAsia="Times New Roman" w:cs="Times New Roman"/>
        </w:rPr>
        <w:t>Non Specified investment in Appendix 1</w:t>
      </w:r>
    </w:p>
    <w:p w:rsidR="00B97E43" w:rsidRDefault="00B97E43" w:rsidP="008E6D4F">
      <w:pPr>
        <w:spacing w:after="120"/>
        <w:ind w:left="862"/>
        <w:rPr>
          <w:rFonts w:eastAsia="Times New Roman" w:cs="Times New Roman"/>
        </w:rPr>
      </w:pPr>
    </w:p>
    <w:p w:rsidR="00B97E43" w:rsidRDefault="00B97E43" w:rsidP="00B97E43">
      <w:pPr>
        <w:rPr>
          <w:rFonts w:eastAsia="Times New Roman" w:cs="Times New Roman"/>
          <w:b/>
        </w:rPr>
      </w:pPr>
      <w:r>
        <w:rPr>
          <w:rFonts w:eastAsia="Times New Roman" w:cs="Times New Roman"/>
          <w:b/>
        </w:rPr>
        <w:t>Table 10</w:t>
      </w:r>
      <w:r w:rsidRPr="00E17AF1">
        <w:rPr>
          <w:rFonts w:eastAsia="Times New Roman" w:cs="Times New Roman"/>
          <w:b/>
        </w:rPr>
        <w:t>:-</w:t>
      </w:r>
      <w:r>
        <w:rPr>
          <w:rFonts w:eastAsia="Times New Roman" w:cs="Times New Roman"/>
          <w:b/>
        </w:rPr>
        <w:t xml:space="preserve"> </w:t>
      </w:r>
      <w:r w:rsidRPr="00B97E43">
        <w:rPr>
          <w:rFonts w:eastAsia="Times New Roman" w:cs="Times New Roman"/>
          <w:b/>
        </w:rPr>
        <w:t>Upper limit for principal sums invested for periods longer than 365 days</w:t>
      </w:r>
    </w:p>
    <w:p w:rsidR="00B97E43" w:rsidRDefault="00B97E43" w:rsidP="008E6D4F">
      <w:pPr>
        <w:spacing w:after="120"/>
        <w:ind w:left="862"/>
        <w:rPr>
          <w:rFonts w:eastAsia="Times New Roman" w:cs="Times New Roman"/>
        </w:rPr>
      </w:pPr>
    </w:p>
    <w:p w:rsidR="00B97E43" w:rsidRDefault="00B97E43" w:rsidP="008E6D4F">
      <w:pPr>
        <w:spacing w:after="120"/>
        <w:ind w:left="862"/>
        <w:rPr>
          <w:rFonts w:eastAsia="Times New Roman" w:cs="Times New Roman"/>
        </w:rPr>
      </w:pPr>
      <w:r w:rsidRPr="00B97E43">
        <w:rPr>
          <w:noProof/>
          <w:lang w:eastAsia="en-GB"/>
        </w:rPr>
        <w:drawing>
          <wp:inline distT="0" distB="0" distL="0" distR="0">
            <wp:extent cx="7905750" cy="962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0" cy="962025"/>
                    </a:xfrm>
                    <a:prstGeom prst="rect">
                      <a:avLst/>
                    </a:prstGeom>
                    <a:noFill/>
                    <a:ln>
                      <a:noFill/>
                    </a:ln>
                  </pic:spPr>
                </pic:pic>
              </a:graphicData>
            </a:graphic>
          </wp:inline>
        </w:drawing>
      </w:r>
    </w:p>
    <w:p w:rsidR="00785C78" w:rsidRPr="00785C78" w:rsidRDefault="00785C78" w:rsidP="005D4792">
      <w:pPr>
        <w:tabs>
          <w:tab w:val="left" w:pos="426"/>
        </w:tabs>
      </w:pPr>
    </w:p>
    <w:sectPr w:rsidR="00785C78" w:rsidRPr="00785C78" w:rsidSect="002F13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0344"/>
    <w:multiLevelType w:val="hybridMultilevel"/>
    <w:tmpl w:val="46DE3DB6"/>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70A23"/>
    <w:multiLevelType w:val="hybridMultilevel"/>
    <w:tmpl w:val="321253B8"/>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6E00CB"/>
    <w:multiLevelType w:val="hybridMultilevel"/>
    <w:tmpl w:val="4F84F2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0787717"/>
    <w:multiLevelType w:val="hybridMultilevel"/>
    <w:tmpl w:val="6ECA95AC"/>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FF4833"/>
    <w:multiLevelType w:val="hybridMultilevel"/>
    <w:tmpl w:val="44B09DD4"/>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1F614A1"/>
    <w:multiLevelType w:val="hybridMultilevel"/>
    <w:tmpl w:val="4C642100"/>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00740E0"/>
    <w:multiLevelType w:val="hybridMultilevel"/>
    <w:tmpl w:val="31B43F08"/>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1"/>
    <w:rsid w:val="0001395D"/>
    <w:rsid w:val="000176BF"/>
    <w:rsid w:val="000B4310"/>
    <w:rsid w:val="000C2A5F"/>
    <w:rsid w:val="001C71CC"/>
    <w:rsid w:val="001C7287"/>
    <w:rsid w:val="00286BBA"/>
    <w:rsid w:val="00290347"/>
    <w:rsid w:val="002F1361"/>
    <w:rsid w:val="00347444"/>
    <w:rsid w:val="00382E19"/>
    <w:rsid w:val="003B01D1"/>
    <w:rsid w:val="003B2AE5"/>
    <w:rsid w:val="004000D7"/>
    <w:rsid w:val="004A0868"/>
    <w:rsid w:val="004A5D17"/>
    <w:rsid w:val="00504E43"/>
    <w:rsid w:val="005059BF"/>
    <w:rsid w:val="00537AB3"/>
    <w:rsid w:val="005B48E9"/>
    <w:rsid w:val="005D4792"/>
    <w:rsid w:val="005E0B13"/>
    <w:rsid w:val="00625939"/>
    <w:rsid w:val="00662A94"/>
    <w:rsid w:val="00676450"/>
    <w:rsid w:val="006A0CFA"/>
    <w:rsid w:val="006E3C3C"/>
    <w:rsid w:val="006F2E77"/>
    <w:rsid w:val="00785C78"/>
    <w:rsid w:val="007908F4"/>
    <w:rsid w:val="007D1F3B"/>
    <w:rsid w:val="008204E4"/>
    <w:rsid w:val="008A22C6"/>
    <w:rsid w:val="008E6D4F"/>
    <w:rsid w:val="00956FFC"/>
    <w:rsid w:val="00970C36"/>
    <w:rsid w:val="00991031"/>
    <w:rsid w:val="009B1208"/>
    <w:rsid w:val="009F1075"/>
    <w:rsid w:val="00A8466C"/>
    <w:rsid w:val="00AF3BC4"/>
    <w:rsid w:val="00B97E43"/>
    <w:rsid w:val="00C07F80"/>
    <w:rsid w:val="00C137F5"/>
    <w:rsid w:val="00C300E6"/>
    <w:rsid w:val="00C41F13"/>
    <w:rsid w:val="00CB6535"/>
    <w:rsid w:val="00D21A1A"/>
    <w:rsid w:val="00D717E5"/>
    <w:rsid w:val="00DB12D6"/>
    <w:rsid w:val="00DE33EA"/>
    <w:rsid w:val="00E17AF1"/>
    <w:rsid w:val="00ED264E"/>
    <w:rsid w:val="00EF4DC2"/>
    <w:rsid w:val="00F31253"/>
    <w:rsid w:val="00F33978"/>
    <w:rsid w:val="00F75C22"/>
    <w:rsid w:val="00F925F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uiPriority w:val="34"/>
    <w:qFormat/>
    <w:rsid w:val="005D4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 w:type="paragraph" w:styleId="ListParagraph">
    <w:name w:val="List Paragraph"/>
    <w:basedOn w:val="Normal"/>
    <w:uiPriority w:val="34"/>
    <w:qFormat/>
    <w:rsid w:val="005D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171">
      <w:bodyDiv w:val="1"/>
      <w:marLeft w:val="0"/>
      <w:marRight w:val="0"/>
      <w:marTop w:val="0"/>
      <w:marBottom w:val="0"/>
      <w:divBdr>
        <w:top w:val="none" w:sz="0" w:space="0" w:color="auto"/>
        <w:left w:val="none" w:sz="0" w:space="0" w:color="auto"/>
        <w:bottom w:val="none" w:sz="0" w:space="0" w:color="auto"/>
        <w:right w:val="none" w:sz="0" w:space="0" w:color="auto"/>
      </w:divBdr>
    </w:div>
    <w:div w:id="146359430">
      <w:bodyDiv w:val="1"/>
      <w:marLeft w:val="0"/>
      <w:marRight w:val="0"/>
      <w:marTop w:val="0"/>
      <w:marBottom w:val="0"/>
      <w:divBdr>
        <w:top w:val="none" w:sz="0" w:space="0" w:color="auto"/>
        <w:left w:val="none" w:sz="0" w:space="0" w:color="auto"/>
        <w:bottom w:val="none" w:sz="0" w:space="0" w:color="auto"/>
        <w:right w:val="none" w:sz="0" w:space="0" w:color="auto"/>
      </w:divBdr>
    </w:div>
    <w:div w:id="182520227">
      <w:bodyDiv w:val="1"/>
      <w:marLeft w:val="0"/>
      <w:marRight w:val="0"/>
      <w:marTop w:val="0"/>
      <w:marBottom w:val="0"/>
      <w:divBdr>
        <w:top w:val="none" w:sz="0" w:space="0" w:color="auto"/>
        <w:left w:val="none" w:sz="0" w:space="0" w:color="auto"/>
        <w:bottom w:val="none" w:sz="0" w:space="0" w:color="auto"/>
        <w:right w:val="none" w:sz="0" w:space="0" w:color="auto"/>
      </w:divBdr>
    </w:div>
    <w:div w:id="207962962">
      <w:bodyDiv w:val="1"/>
      <w:marLeft w:val="0"/>
      <w:marRight w:val="0"/>
      <w:marTop w:val="0"/>
      <w:marBottom w:val="0"/>
      <w:divBdr>
        <w:top w:val="none" w:sz="0" w:space="0" w:color="auto"/>
        <w:left w:val="none" w:sz="0" w:space="0" w:color="auto"/>
        <w:bottom w:val="none" w:sz="0" w:space="0" w:color="auto"/>
        <w:right w:val="none" w:sz="0" w:space="0" w:color="auto"/>
      </w:divBdr>
    </w:div>
    <w:div w:id="237520680">
      <w:bodyDiv w:val="1"/>
      <w:marLeft w:val="0"/>
      <w:marRight w:val="0"/>
      <w:marTop w:val="0"/>
      <w:marBottom w:val="0"/>
      <w:divBdr>
        <w:top w:val="none" w:sz="0" w:space="0" w:color="auto"/>
        <w:left w:val="none" w:sz="0" w:space="0" w:color="auto"/>
        <w:bottom w:val="none" w:sz="0" w:space="0" w:color="auto"/>
        <w:right w:val="none" w:sz="0" w:space="0" w:color="auto"/>
      </w:divBdr>
    </w:div>
    <w:div w:id="281809664">
      <w:bodyDiv w:val="1"/>
      <w:marLeft w:val="0"/>
      <w:marRight w:val="0"/>
      <w:marTop w:val="0"/>
      <w:marBottom w:val="0"/>
      <w:divBdr>
        <w:top w:val="none" w:sz="0" w:space="0" w:color="auto"/>
        <w:left w:val="none" w:sz="0" w:space="0" w:color="auto"/>
        <w:bottom w:val="none" w:sz="0" w:space="0" w:color="auto"/>
        <w:right w:val="none" w:sz="0" w:space="0" w:color="auto"/>
      </w:divBdr>
    </w:div>
    <w:div w:id="329527870">
      <w:bodyDiv w:val="1"/>
      <w:marLeft w:val="0"/>
      <w:marRight w:val="0"/>
      <w:marTop w:val="0"/>
      <w:marBottom w:val="0"/>
      <w:divBdr>
        <w:top w:val="none" w:sz="0" w:space="0" w:color="auto"/>
        <w:left w:val="none" w:sz="0" w:space="0" w:color="auto"/>
        <w:bottom w:val="none" w:sz="0" w:space="0" w:color="auto"/>
        <w:right w:val="none" w:sz="0" w:space="0" w:color="auto"/>
      </w:divBdr>
    </w:div>
    <w:div w:id="336735597">
      <w:bodyDiv w:val="1"/>
      <w:marLeft w:val="0"/>
      <w:marRight w:val="0"/>
      <w:marTop w:val="0"/>
      <w:marBottom w:val="0"/>
      <w:divBdr>
        <w:top w:val="none" w:sz="0" w:space="0" w:color="auto"/>
        <w:left w:val="none" w:sz="0" w:space="0" w:color="auto"/>
        <w:bottom w:val="none" w:sz="0" w:space="0" w:color="auto"/>
        <w:right w:val="none" w:sz="0" w:space="0" w:color="auto"/>
      </w:divBdr>
    </w:div>
    <w:div w:id="365646852">
      <w:bodyDiv w:val="1"/>
      <w:marLeft w:val="0"/>
      <w:marRight w:val="0"/>
      <w:marTop w:val="0"/>
      <w:marBottom w:val="0"/>
      <w:divBdr>
        <w:top w:val="none" w:sz="0" w:space="0" w:color="auto"/>
        <w:left w:val="none" w:sz="0" w:space="0" w:color="auto"/>
        <w:bottom w:val="none" w:sz="0" w:space="0" w:color="auto"/>
        <w:right w:val="none" w:sz="0" w:space="0" w:color="auto"/>
      </w:divBdr>
    </w:div>
    <w:div w:id="373041605">
      <w:bodyDiv w:val="1"/>
      <w:marLeft w:val="0"/>
      <w:marRight w:val="0"/>
      <w:marTop w:val="0"/>
      <w:marBottom w:val="0"/>
      <w:divBdr>
        <w:top w:val="none" w:sz="0" w:space="0" w:color="auto"/>
        <w:left w:val="none" w:sz="0" w:space="0" w:color="auto"/>
        <w:bottom w:val="none" w:sz="0" w:space="0" w:color="auto"/>
        <w:right w:val="none" w:sz="0" w:space="0" w:color="auto"/>
      </w:divBdr>
    </w:div>
    <w:div w:id="433868990">
      <w:bodyDiv w:val="1"/>
      <w:marLeft w:val="0"/>
      <w:marRight w:val="0"/>
      <w:marTop w:val="0"/>
      <w:marBottom w:val="0"/>
      <w:divBdr>
        <w:top w:val="none" w:sz="0" w:space="0" w:color="auto"/>
        <w:left w:val="none" w:sz="0" w:space="0" w:color="auto"/>
        <w:bottom w:val="none" w:sz="0" w:space="0" w:color="auto"/>
        <w:right w:val="none" w:sz="0" w:space="0" w:color="auto"/>
      </w:divBdr>
    </w:div>
    <w:div w:id="465665822">
      <w:bodyDiv w:val="1"/>
      <w:marLeft w:val="0"/>
      <w:marRight w:val="0"/>
      <w:marTop w:val="0"/>
      <w:marBottom w:val="0"/>
      <w:divBdr>
        <w:top w:val="none" w:sz="0" w:space="0" w:color="auto"/>
        <w:left w:val="none" w:sz="0" w:space="0" w:color="auto"/>
        <w:bottom w:val="none" w:sz="0" w:space="0" w:color="auto"/>
        <w:right w:val="none" w:sz="0" w:space="0" w:color="auto"/>
      </w:divBdr>
    </w:div>
    <w:div w:id="607663791">
      <w:bodyDiv w:val="1"/>
      <w:marLeft w:val="0"/>
      <w:marRight w:val="0"/>
      <w:marTop w:val="0"/>
      <w:marBottom w:val="0"/>
      <w:divBdr>
        <w:top w:val="none" w:sz="0" w:space="0" w:color="auto"/>
        <w:left w:val="none" w:sz="0" w:space="0" w:color="auto"/>
        <w:bottom w:val="none" w:sz="0" w:space="0" w:color="auto"/>
        <w:right w:val="none" w:sz="0" w:space="0" w:color="auto"/>
      </w:divBdr>
    </w:div>
    <w:div w:id="678429774">
      <w:bodyDiv w:val="1"/>
      <w:marLeft w:val="0"/>
      <w:marRight w:val="0"/>
      <w:marTop w:val="0"/>
      <w:marBottom w:val="0"/>
      <w:divBdr>
        <w:top w:val="none" w:sz="0" w:space="0" w:color="auto"/>
        <w:left w:val="none" w:sz="0" w:space="0" w:color="auto"/>
        <w:bottom w:val="none" w:sz="0" w:space="0" w:color="auto"/>
        <w:right w:val="none" w:sz="0" w:space="0" w:color="auto"/>
      </w:divBdr>
    </w:div>
    <w:div w:id="694648581">
      <w:bodyDiv w:val="1"/>
      <w:marLeft w:val="0"/>
      <w:marRight w:val="0"/>
      <w:marTop w:val="0"/>
      <w:marBottom w:val="0"/>
      <w:divBdr>
        <w:top w:val="none" w:sz="0" w:space="0" w:color="auto"/>
        <w:left w:val="none" w:sz="0" w:space="0" w:color="auto"/>
        <w:bottom w:val="none" w:sz="0" w:space="0" w:color="auto"/>
        <w:right w:val="none" w:sz="0" w:space="0" w:color="auto"/>
      </w:divBdr>
    </w:div>
    <w:div w:id="745884985">
      <w:bodyDiv w:val="1"/>
      <w:marLeft w:val="0"/>
      <w:marRight w:val="0"/>
      <w:marTop w:val="0"/>
      <w:marBottom w:val="0"/>
      <w:divBdr>
        <w:top w:val="none" w:sz="0" w:space="0" w:color="auto"/>
        <w:left w:val="none" w:sz="0" w:space="0" w:color="auto"/>
        <w:bottom w:val="none" w:sz="0" w:space="0" w:color="auto"/>
        <w:right w:val="none" w:sz="0" w:space="0" w:color="auto"/>
      </w:divBdr>
    </w:div>
    <w:div w:id="845292436">
      <w:bodyDiv w:val="1"/>
      <w:marLeft w:val="0"/>
      <w:marRight w:val="0"/>
      <w:marTop w:val="0"/>
      <w:marBottom w:val="0"/>
      <w:divBdr>
        <w:top w:val="none" w:sz="0" w:space="0" w:color="auto"/>
        <w:left w:val="none" w:sz="0" w:space="0" w:color="auto"/>
        <w:bottom w:val="none" w:sz="0" w:space="0" w:color="auto"/>
        <w:right w:val="none" w:sz="0" w:space="0" w:color="auto"/>
      </w:divBdr>
    </w:div>
    <w:div w:id="962469164">
      <w:bodyDiv w:val="1"/>
      <w:marLeft w:val="0"/>
      <w:marRight w:val="0"/>
      <w:marTop w:val="0"/>
      <w:marBottom w:val="0"/>
      <w:divBdr>
        <w:top w:val="none" w:sz="0" w:space="0" w:color="auto"/>
        <w:left w:val="none" w:sz="0" w:space="0" w:color="auto"/>
        <w:bottom w:val="none" w:sz="0" w:space="0" w:color="auto"/>
        <w:right w:val="none" w:sz="0" w:space="0" w:color="auto"/>
      </w:divBdr>
    </w:div>
    <w:div w:id="971206631">
      <w:bodyDiv w:val="1"/>
      <w:marLeft w:val="0"/>
      <w:marRight w:val="0"/>
      <w:marTop w:val="0"/>
      <w:marBottom w:val="0"/>
      <w:divBdr>
        <w:top w:val="none" w:sz="0" w:space="0" w:color="auto"/>
        <w:left w:val="none" w:sz="0" w:space="0" w:color="auto"/>
        <w:bottom w:val="none" w:sz="0" w:space="0" w:color="auto"/>
        <w:right w:val="none" w:sz="0" w:space="0" w:color="auto"/>
      </w:divBdr>
    </w:div>
    <w:div w:id="973559572">
      <w:bodyDiv w:val="1"/>
      <w:marLeft w:val="0"/>
      <w:marRight w:val="0"/>
      <w:marTop w:val="0"/>
      <w:marBottom w:val="0"/>
      <w:divBdr>
        <w:top w:val="none" w:sz="0" w:space="0" w:color="auto"/>
        <w:left w:val="none" w:sz="0" w:space="0" w:color="auto"/>
        <w:bottom w:val="none" w:sz="0" w:space="0" w:color="auto"/>
        <w:right w:val="none" w:sz="0" w:space="0" w:color="auto"/>
      </w:divBdr>
    </w:div>
    <w:div w:id="1014303275">
      <w:bodyDiv w:val="1"/>
      <w:marLeft w:val="0"/>
      <w:marRight w:val="0"/>
      <w:marTop w:val="0"/>
      <w:marBottom w:val="0"/>
      <w:divBdr>
        <w:top w:val="none" w:sz="0" w:space="0" w:color="auto"/>
        <w:left w:val="none" w:sz="0" w:space="0" w:color="auto"/>
        <w:bottom w:val="none" w:sz="0" w:space="0" w:color="auto"/>
        <w:right w:val="none" w:sz="0" w:space="0" w:color="auto"/>
      </w:divBdr>
    </w:div>
    <w:div w:id="1199464888">
      <w:bodyDiv w:val="1"/>
      <w:marLeft w:val="0"/>
      <w:marRight w:val="0"/>
      <w:marTop w:val="0"/>
      <w:marBottom w:val="0"/>
      <w:divBdr>
        <w:top w:val="none" w:sz="0" w:space="0" w:color="auto"/>
        <w:left w:val="none" w:sz="0" w:space="0" w:color="auto"/>
        <w:bottom w:val="none" w:sz="0" w:space="0" w:color="auto"/>
        <w:right w:val="none" w:sz="0" w:space="0" w:color="auto"/>
      </w:divBdr>
    </w:div>
    <w:div w:id="1307200908">
      <w:bodyDiv w:val="1"/>
      <w:marLeft w:val="0"/>
      <w:marRight w:val="0"/>
      <w:marTop w:val="0"/>
      <w:marBottom w:val="0"/>
      <w:divBdr>
        <w:top w:val="none" w:sz="0" w:space="0" w:color="auto"/>
        <w:left w:val="none" w:sz="0" w:space="0" w:color="auto"/>
        <w:bottom w:val="none" w:sz="0" w:space="0" w:color="auto"/>
        <w:right w:val="none" w:sz="0" w:space="0" w:color="auto"/>
      </w:divBdr>
    </w:div>
    <w:div w:id="1461650834">
      <w:bodyDiv w:val="1"/>
      <w:marLeft w:val="0"/>
      <w:marRight w:val="0"/>
      <w:marTop w:val="0"/>
      <w:marBottom w:val="0"/>
      <w:divBdr>
        <w:top w:val="none" w:sz="0" w:space="0" w:color="auto"/>
        <w:left w:val="none" w:sz="0" w:space="0" w:color="auto"/>
        <w:bottom w:val="none" w:sz="0" w:space="0" w:color="auto"/>
        <w:right w:val="none" w:sz="0" w:space="0" w:color="auto"/>
      </w:divBdr>
    </w:div>
    <w:div w:id="1481187995">
      <w:bodyDiv w:val="1"/>
      <w:marLeft w:val="0"/>
      <w:marRight w:val="0"/>
      <w:marTop w:val="0"/>
      <w:marBottom w:val="0"/>
      <w:divBdr>
        <w:top w:val="none" w:sz="0" w:space="0" w:color="auto"/>
        <w:left w:val="none" w:sz="0" w:space="0" w:color="auto"/>
        <w:bottom w:val="none" w:sz="0" w:space="0" w:color="auto"/>
        <w:right w:val="none" w:sz="0" w:space="0" w:color="auto"/>
      </w:divBdr>
    </w:div>
    <w:div w:id="1681349142">
      <w:bodyDiv w:val="1"/>
      <w:marLeft w:val="0"/>
      <w:marRight w:val="0"/>
      <w:marTop w:val="0"/>
      <w:marBottom w:val="0"/>
      <w:divBdr>
        <w:top w:val="none" w:sz="0" w:space="0" w:color="auto"/>
        <w:left w:val="none" w:sz="0" w:space="0" w:color="auto"/>
        <w:bottom w:val="none" w:sz="0" w:space="0" w:color="auto"/>
        <w:right w:val="none" w:sz="0" w:space="0" w:color="auto"/>
      </w:divBdr>
    </w:div>
    <w:div w:id="1696078279">
      <w:bodyDiv w:val="1"/>
      <w:marLeft w:val="0"/>
      <w:marRight w:val="0"/>
      <w:marTop w:val="0"/>
      <w:marBottom w:val="0"/>
      <w:divBdr>
        <w:top w:val="none" w:sz="0" w:space="0" w:color="auto"/>
        <w:left w:val="none" w:sz="0" w:space="0" w:color="auto"/>
        <w:bottom w:val="none" w:sz="0" w:space="0" w:color="auto"/>
        <w:right w:val="none" w:sz="0" w:space="0" w:color="auto"/>
      </w:divBdr>
    </w:div>
    <w:div w:id="1722093789">
      <w:bodyDiv w:val="1"/>
      <w:marLeft w:val="0"/>
      <w:marRight w:val="0"/>
      <w:marTop w:val="0"/>
      <w:marBottom w:val="0"/>
      <w:divBdr>
        <w:top w:val="none" w:sz="0" w:space="0" w:color="auto"/>
        <w:left w:val="none" w:sz="0" w:space="0" w:color="auto"/>
        <w:bottom w:val="none" w:sz="0" w:space="0" w:color="auto"/>
        <w:right w:val="none" w:sz="0" w:space="0" w:color="auto"/>
      </w:divBdr>
    </w:div>
    <w:div w:id="1744259579">
      <w:bodyDiv w:val="1"/>
      <w:marLeft w:val="0"/>
      <w:marRight w:val="0"/>
      <w:marTop w:val="0"/>
      <w:marBottom w:val="0"/>
      <w:divBdr>
        <w:top w:val="none" w:sz="0" w:space="0" w:color="auto"/>
        <w:left w:val="none" w:sz="0" w:space="0" w:color="auto"/>
        <w:bottom w:val="none" w:sz="0" w:space="0" w:color="auto"/>
        <w:right w:val="none" w:sz="0" w:space="0" w:color="auto"/>
      </w:divBdr>
    </w:div>
    <w:div w:id="1782871767">
      <w:bodyDiv w:val="1"/>
      <w:marLeft w:val="0"/>
      <w:marRight w:val="0"/>
      <w:marTop w:val="0"/>
      <w:marBottom w:val="0"/>
      <w:divBdr>
        <w:top w:val="none" w:sz="0" w:space="0" w:color="auto"/>
        <w:left w:val="none" w:sz="0" w:space="0" w:color="auto"/>
        <w:bottom w:val="none" w:sz="0" w:space="0" w:color="auto"/>
        <w:right w:val="none" w:sz="0" w:space="0" w:color="auto"/>
      </w:divBdr>
    </w:div>
    <w:div w:id="1869681891">
      <w:bodyDiv w:val="1"/>
      <w:marLeft w:val="0"/>
      <w:marRight w:val="0"/>
      <w:marTop w:val="0"/>
      <w:marBottom w:val="0"/>
      <w:divBdr>
        <w:top w:val="none" w:sz="0" w:space="0" w:color="auto"/>
        <w:left w:val="none" w:sz="0" w:space="0" w:color="auto"/>
        <w:bottom w:val="none" w:sz="0" w:space="0" w:color="auto"/>
        <w:right w:val="none" w:sz="0" w:space="0" w:color="auto"/>
      </w:divBdr>
    </w:div>
    <w:div w:id="1871412681">
      <w:bodyDiv w:val="1"/>
      <w:marLeft w:val="0"/>
      <w:marRight w:val="0"/>
      <w:marTop w:val="0"/>
      <w:marBottom w:val="0"/>
      <w:divBdr>
        <w:top w:val="none" w:sz="0" w:space="0" w:color="auto"/>
        <w:left w:val="none" w:sz="0" w:space="0" w:color="auto"/>
        <w:bottom w:val="none" w:sz="0" w:space="0" w:color="auto"/>
        <w:right w:val="none" w:sz="0" w:space="0" w:color="auto"/>
      </w:divBdr>
    </w:div>
    <w:div w:id="1903247087">
      <w:bodyDiv w:val="1"/>
      <w:marLeft w:val="0"/>
      <w:marRight w:val="0"/>
      <w:marTop w:val="0"/>
      <w:marBottom w:val="0"/>
      <w:divBdr>
        <w:top w:val="none" w:sz="0" w:space="0" w:color="auto"/>
        <w:left w:val="none" w:sz="0" w:space="0" w:color="auto"/>
        <w:bottom w:val="none" w:sz="0" w:space="0" w:color="auto"/>
        <w:right w:val="none" w:sz="0" w:space="0" w:color="auto"/>
      </w:divBdr>
    </w:div>
    <w:div w:id="1949853175">
      <w:bodyDiv w:val="1"/>
      <w:marLeft w:val="0"/>
      <w:marRight w:val="0"/>
      <w:marTop w:val="0"/>
      <w:marBottom w:val="0"/>
      <w:divBdr>
        <w:top w:val="none" w:sz="0" w:space="0" w:color="auto"/>
        <w:left w:val="none" w:sz="0" w:space="0" w:color="auto"/>
        <w:bottom w:val="none" w:sz="0" w:space="0" w:color="auto"/>
        <w:right w:val="none" w:sz="0" w:space="0" w:color="auto"/>
      </w:divBdr>
    </w:div>
    <w:div w:id="2017880612">
      <w:bodyDiv w:val="1"/>
      <w:marLeft w:val="0"/>
      <w:marRight w:val="0"/>
      <w:marTop w:val="0"/>
      <w:marBottom w:val="0"/>
      <w:divBdr>
        <w:top w:val="none" w:sz="0" w:space="0" w:color="auto"/>
        <w:left w:val="none" w:sz="0" w:space="0" w:color="auto"/>
        <w:bottom w:val="none" w:sz="0" w:space="0" w:color="auto"/>
        <w:right w:val="none" w:sz="0" w:space="0" w:color="auto"/>
      </w:divBdr>
    </w:div>
    <w:div w:id="2044477890">
      <w:bodyDiv w:val="1"/>
      <w:marLeft w:val="0"/>
      <w:marRight w:val="0"/>
      <w:marTop w:val="0"/>
      <w:marBottom w:val="0"/>
      <w:divBdr>
        <w:top w:val="none" w:sz="0" w:space="0" w:color="auto"/>
        <w:left w:val="none" w:sz="0" w:space="0" w:color="auto"/>
        <w:bottom w:val="none" w:sz="0" w:space="0" w:color="auto"/>
        <w:right w:val="none" w:sz="0" w:space="0" w:color="auto"/>
      </w:divBdr>
    </w:div>
    <w:div w:id="2056462123">
      <w:bodyDiv w:val="1"/>
      <w:marLeft w:val="0"/>
      <w:marRight w:val="0"/>
      <w:marTop w:val="0"/>
      <w:marBottom w:val="0"/>
      <w:divBdr>
        <w:top w:val="none" w:sz="0" w:space="0" w:color="auto"/>
        <w:left w:val="none" w:sz="0" w:space="0" w:color="auto"/>
        <w:bottom w:val="none" w:sz="0" w:space="0" w:color="auto"/>
        <w:right w:val="none" w:sz="0" w:space="0" w:color="auto"/>
      </w:divBdr>
    </w:div>
    <w:div w:id="2063168259">
      <w:bodyDiv w:val="1"/>
      <w:marLeft w:val="0"/>
      <w:marRight w:val="0"/>
      <w:marTop w:val="0"/>
      <w:marBottom w:val="0"/>
      <w:divBdr>
        <w:top w:val="none" w:sz="0" w:space="0" w:color="auto"/>
        <w:left w:val="none" w:sz="0" w:space="0" w:color="auto"/>
        <w:bottom w:val="none" w:sz="0" w:space="0" w:color="auto"/>
        <w:right w:val="none" w:sz="0" w:space="0" w:color="auto"/>
      </w:divBdr>
    </w:div>
    <w:div w:id="2078554837">
      <w:bodyDiv w:val="1"/>
      <w:marLeft w:val="0"/>
      <w:marRight w:val="0"/>
      <w:marTop w:val="0"/>
      <w:marBottom w:val="0"/>
      <w:divBdr>
        <w:top w:val="none" w:sz="0" w:space="0" w:color="auto"/>
        <w:left w:val="none" w:sz="0" w:space="0" w:color="auto"/>
        <w:bottom w:val="none" w:sz="0" w:space="0" w:color="auto"/>
        <w:right w:val="none" w:sz="0" w:space="0" w:color="auto"/>
      </w:divBdr>
    </w:div>
    <w:div w:id="20863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1DA6-0FC4-4E47-8A9B-930794B4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A6553A6C</Template>
  <TotalTime>90</TotalTime>
  <Pages>8</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JMitchell</cp:lastModifiedBy>
  <cp:revision>5</cp:revision>
  <dcterms:created xsi:type="dcterms:W3CDTF">2018-01-18T10:20:00Z</dcterms:created>
  <dcterms:modified xsi:type="dcterms:W3CDTF">2019-01-18T10:48:00Z</dcterms:modified>
</cp:coreProperties>
</file>